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N0093</w:t>
      </w:r>
    </w:p>
    <w:p>
      <w:pPr/>
      <w:r>
        <w:rPr>
          <w:sz w:val="24"/>
          <w:szCs w:val="24"/>
          <w:b w:val="1"/>
          <w:bCs w:val="1"/>
        </w:rPr>
        <w:t xml:space="preserve">Notion originale: наддиалектная речь</w:t>
      </w:r>
    </w:p>
    <w:p>
      <w:pPr/>
      <w:r>
        <w:rPr>
          <w:sz w:val="24"/>
          <w:szCs w:val="24"/>
          <w:b w:val="1"/>
          <w:bCs w:val="1"/>
        </w:rPr>
        <w:t xml:space="preserve">Notion translittere: naddialektnaâ rečʹ</w:t>
      </w:r>
    </w:p>
    <w:p>
      <w:pPr/>
      <w:r>
        <w:rPr>
          <w:sz w:val="24"/>
          <w:szCs w:val="24"/>
          <w:b w:val="1"/>
          <w:bCs w:val="1"/>
        </w:rPr>
        <w:t xml:space="preserve">Notion traduite: variante supradialectale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