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N0089</w:t>
      </w:r>
    </w:p>
    <w:p>
      <w:pPr/>
      <w:r>
        <w:rPr>
          <w:sz w:val="24"/>
          <w:szCs w:val="24"/>
          <w:b w:val="1"/>
          <w:bCs w:val="1"/>
        </w:rPr>
        <w:t xml:space="preserve">Notion originale: старописьменный язык</w:t>
      </w:r>
    </w:p>
    <w:p>
      <w:pPr/>
      <w:r>
        <w:rPr>
          <w:sz w:val="24"/>
          <w:szCs w:val="24"/>
          <w:b w:val="1"/>
          <w:bCs w:val="1"/>
        </w:rPr>
        <w:t xml:space="preserve">Notion translittere: staropisʹmennyj âzyk</w:t>
      </w:r>
    </w:p>
    <w:p>
      <w:pPr/>
      <w:r>
        <w:rPr>
          <w:sz w:val="24"/>
          <w:szCs w:val="24"/>
          <w:b w:val="1"/>
          <w:bCs w:val="1"/>
        </w:rPr>
        <w:t xml:space="preserve">Notion traduite: langue de littérisation ancienne</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E1853, p. 13</w:t>
      </w:r>
    </w:p>
    <w:p>
      <w:pPr/>
      <w:r>
        <w:rPr/>
        <w:t xml:space="preserve">    В Советском Союзе представлено большинство языков финно-угорской семьи. Сюда относится старописьменный эстонский язык, на котором говорит свыше миллиона чел. У мордовского народа (1,3 млн. чел.) два литературных языка: эрзя-мордовский и мокша-мордовский. По два литературных языка развиваются у марийцев (горно-марийский и лугово-марийский) и коми (коми-зырянский и коми-пермяцкий). Марийцев насчитывается 599 тыс. чел., а коми – 475 тыс. чел.</w:t>
      </w:r>
    </w:p>
    <w:p>
      <w:pPr/>
      <w:r>
        <w:rPr/>
        <w:t xml:space="preserve">    La majorité des langues de la famille finno-ougrienne sont présentes en Union Soviétique. La langue estonienne de littérisation ancienne, parlée par plus d'un million de personnes, en fait partie. Le peuple mordve (1,3 million personnes) possède deux langues littéraires : l'erzya-mordve et le mokcha-mordve. Deux langues littéraires se développent chez les Maris (le mari des montagnes et le mari des plaines), ainsi que chez les Komis (le komi-zyrien et le komi-permien). Parmi les Maris, on compte 599 000 personnes et les Komis sont 475 000.</w:t>
      </w:r>
    </w:p>
    <w:p>
      <w:pPr/>
      <w:r>
        <w:rPr/>
        <w:t xml:space="preserve">
</w:t>
      </w:r>
    </w:p>
    <w:p>
      <w:pPr/>
      <w:r>
        <w:rPr/>
        <w:t xml:space="preserve">Extrait E1917, p. 297</w:t>
      </w:r>
    </w:p>
    <w:p>
      <w:pPr/>
      <w:r>
        <w:rPr/>
        <w:t xml:space="preserve">    С другой стороны, общий лексический фонд не обязaтельно должен отражаться во всех языках одинаково. Как правило, он в более значительной степени представлен в младописьменных языках, которые нуждались в более срочном пополнении лексики и терминологии из-за отсутствия богатых литературных традиций. Старописьменные языки, наоборот, накопили известный терминологический запас, на базе которого в большинстве случаев из собственного языкового материала строились и многие новые термины, что не могло не приводить к определенным сдвигам во всей лексической системе.</w:t>
      </w:r>
    </w:p>
    <w:p>
      <w:pPr/>
      <w:r>
        <w:rPr/>
        <w:t xml:space="preserve">    D'autre part, le fonds lexical commun ne se reflète pas obligatoirement de la même façon dans toutes les langues. Généralement, il est représenté surtout dans les langues de littérisation récente, lesquelles avaient besoin d'un enrichissement plus rapide de leur lexique et de terminologie faute de riches traditions littéraires propres. Inversement, les langues de littérisation ancienne ont déjà accumulé une base terminologique certaine, laquelle, dans la plupart des cas, servait à former de nombreux autres termes, ce qui ne pouvait que provoquer des chevauchements dans le système lexical.</w:t>
      </w:r>
    </w:p>
    <w:p>
      <w:pPr/>
      <w:r>
        <w:rPr/>
        <w:t xml:space="preserve">
</w:t>
      </w:r>
    </w:p>
    <w:p>
      <w:pPr/>
      <w:r>
        <w:rPr/>
        <w:t xml:space="preserve">Extrait E1919, p. 301</w:t>
      </w:r>
    </w:p>
    <w:p>
      <w:pPr/>
      <w:r>
        <w:rPr/>
        <w:t xml:space="preserve">    Одной из наиболее характерных особенностей развития старописьменных языков в советский период следует считать широкую демократизацию литературного языка, который из среды узкого круга интеллигенции перешел на обслуживание народных масс.</w:t>
      </w:r>
    </w:p>
    <w:p>
      <w:pPr/>
      <w:r>
        <w:rPr/>
        <w:t xml:space="preserve">    Parmi les particularités les plus significatives du développement des langues de littérisation ancienne durant la période soviétique, il faut distinguer une large démocratisation de la langue littéraire, passée du milieu d'usage restreint de l'intelligentsia au service des masses populaires.</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E0428, p. 149</w:t>
      </w:r>
    </w:p>
    <w:p>
      <w:pPr/>
      <w:r>
        <w:rPr/>
        <w:t xml:space="preserve">    Немало примеров сознательного регулирования обществом языковых процессов приводит Ю. Д. Дешериев: "Диалектные базы младописьменных, а также старописьменных языков, сменивших в советское время свои диалектные основы, установились путем сознательного выбора диалекта или группы говоров".</w:t>
      </w:r>
    </w:p>
    <w:p>
      <w:pPr/>
      <w:r>
        <w:rPr/>
        <w:t xml:space="preserve">    Un nombre important d'exemples de régulation consciente des processus linguistiques est donné par Û.D. Dešeriev : "Les bases dialectales des langues de littérisation récente, et aussi des langues de littérisation ancienne, qui ont changé à l'époque soviétique leurs fonds dialectaux, se sont établies par un choix conscient en faveur du dialecte ou du groupe de parlers".</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Extrait E2181, p. 193</w:t>
      </w:r>
    </w:p>
    <w:p>
      <w:pPr/>
      <w:r>
        <w:rPr/>
        <w:t xml:space="preserve">    Что же касается второго момента, то при внешнем сходстве- и в старописьменных, и в младописьменных языках кодификация и стандартизация языка осуществляется достаточно узким кругом специалистов – здесь имеется одно очень существенное различие. (...) Если раньше вопрос стоял следующим образом: пользоваться предлагаемым письменным вариантом или остаться неграмотным, то теперь, если предлагаемый письменный вариант носителей языка не устраивает, они просто не будут его учить, поскольку в рассматриваемой нами ситуации изучение языка своей национальности, к сожалению, не является объективной необходимостью, а носит, скорее, чисто идеологический характер.</w:t>
      </w:r>
    </w:p>
    <w:p>
      <w:pPr/>
      <w:r>
        <w:rPr/>
        <w:t xml:space="preserve">    En ce qui concerne le second moment, malgré la ressemblance apparente - dans les langues de littérisation récente et ancienne la codification et la standardisation de la langue sont exercées par un cercle de spécialistes relativement petit - il y a une différence très importante. (...) Si avant la question était la suivante : utiliser la variante écrite proposée ou rester analphabète, maintenant, si la variante écrite proposée ne convient pas aux locuteurs, ils ne vont pas tout simplement l'apprendre, parce que dans la situation en question l'apprentissage de la langue de sa nationalité n'est malheureusement pas une nécessité objective, mais a un caractère plutôt purement idéologique.</w:t>
      </w:r>
    </w:p>
    <w:p>
      <w:pPr/>
      <w:r>
        <w:rPr/>
        <w:t xml:space="preserve">
</w:t>
      </w:r>
    </w:p>
    <w:p>
      <w:pPr/>
      <w:r>
        <w:rPr/>
        <w:t xml:space="preserve">Extrait E2185, p. 195</w:t>
      </w:r>
    </w:p>
    <w:p>
      <w:pPr/>
      <w:r>
        <w:rPr/>
        <w:t xml:space="preserve">    Но нам представляется, что функциональное соотношение новописьменного и старописьменного развитого языка в условиях массового одностороннего двуязычия с явным доминированием старописьменного языка совершенно аналогично соотношению локального варианта и нормированного литературного языка в вышеописанной ситуации. Действительно, когда мы говорим о литературном языке применительно к новописьменным языкам, очевидно, что мы употребляем этот термин в узком смысле. (Маловероятно, что какой-либо из новописьменных языков даже в отдаленном будущем сможет получить существенное функциональное развитие и соответственно обрести многоаспектную стилистическую дифференциацию. (...) Таким образом, речь идет (за исключением сферы образования) о тех сферах, которые выше были упомянуты в связи с региональными литературными языками. 
Сноска. Кстати сказать, сама по себе эта оппозиция общий литературный язык / региональный литературный язык очень показательна и свидетельствует о некоторых сдвигах в традиционной иерархии форм существования языка.</w:t>
      </w:r>
    </w:p>
    <w:p>
      <w:pPr/>
      <w:r>
        <w:rPr/>
        <w:t xml:space="preserve">    Mais nous pensons que la corrélation fonctionnelle de la langue de littérisation nouvelle et ancienne développée dans les conditions du bilinguisme de masse unilatéral avec une nette domination de la langue de littérisation ancienne est assez similaire à la corrélation de la version locale et de la langue littéraire normée dans la situation décrite ci-dessus. En effet, lorsque nous parlons d'une langue littéraire par rapport aux langues de littérisation nouvelle, il est clair que nous utilisons ce terme dans un sens étroit. (Il est peu probable que l'une des langues de littérisation nouvelle même dans un avenir lointain soit capable d'avoir un développement fonctionnel important et de gagner ainsi une différenciation stylistique multiaspect. (...) Ainsi, il s'agit (à l'exception du domaine de l'enseignement) des domaines qui ont été mentionnés ci-dessus dans le cadre des langues littéraires régionales .
Note. Par ailleurs, cette opposition langue littéraire commune / langue littéraire régionale est très révélatrice en soi et montre quelques changements dans la hiérarchie traditionnelle des formes d'existence de la langue.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2024-05-16T09:45:19+02:00</dcterms:created>
  <dcterms:modified xsi:type="dcterms:W3CDTF">2024-05-16T09:45:19+02:00</dcterms:modified>
</cp:coreProperties>
</file>

<file path=docProps/custom.xml><?xml version="1.0" encoding="utf-8"?>
<Properties xmlns="http://schemas.openxmlformats.org/officeDocument/2006/custom-properties" xmlns:vt="http://schemas.openxmlformats.org/officeDocument/2006/docPropsVTypes"/>
</file>