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N0075</w:t>
      </w:r>
    </w:p>
    <w:p>
      <w:pPr/>
      <w:r>
        <w:rPr>
          <w:sz w:val="24"/>
          <w:szCs w:val="24"/>
          <w:b w:val="1"/>
          <w:bCs w:val="1"/>
        </w:rPr>
        <w:t xml:space="preserve">Notion originale: говор</w:t>
      </w:r>
    </w:p>
    <w:p>
      <w:pPr/>
      <w:r>
        <w:rPr>
          <w:sz w:val="24"/>
          <w:szCs w:val="24"/>
          <w:b w:val="1"/>
          <w:bCs w:val="1"/>
        </w:rPr>
        <w:t xml:space="preserve">Notion translittere: govor</w:t>
      </w:r>
    </w:p>
    <w:p>
      <w:pPr/>
      <w:r>
        <w:rPr>
          <w:sz w:val="24"/>
          <w:szCs w:val="24"/>
          <w:b w:val="1"/>
          <w:bCs w:val="1"/>
        </w:rPr>
        <w:t xml:space="preserve">Notion traduite: parler</w:t>
      </w:r>
    </w:p>
    <w:p>
      <w:pPr/>
      <w:r>
        <w:rPr/>
        <w:t xml:space="preserve">
Autre notion traduite avec le même therme: (français) parler</w:t>
      </w:r>
    </w:p>
    <w:p>
      <w:pPr/>
      <w:r>
        <w:rPr/>
        <w:t xml:space="preserve">
Autre notion traduite avec le même therme: (allemand) Mundart</w:t>
      </w:r>
    </w:p>
    <w:p>
      <w:pPr/>
      <w:r>
        <w:rPr/>
        <w:t xml:space="preserve">
Autre notion traduite avec le même therme: (italien) parlata</w:t>
      </w:r>
    </w:p>
    <w:p>
      <w:pPr/>
      <w:r>
        <w:rPr/>
        <w:t xml:space="preserve">
</w:t>
      </w:r>
    </w:p>
    <w:p>
      <w:pPr/>
      <w:r>
        <w:rPr>
          <w:b w:val="1"/>
          <w:bCs w:val="1"/>
        </w:rPr>
        <w:t xml:space="preserve">Document: D395</w:t>
      </w:r>
    </w:p>
    <w:p>
      <w:pPr/>
      <w:r>
        <w:rPr/>
        <w:t xml:space="preserve">Titre: Закон РФ n° 3612-I от 9 октября 1992 г. Основы законодательства Российской Федерации о культуре (редакция от 30.12.2009), Российская газета, 31.08.2004, n° 188, стр. 1 [Статья 4]</w:t>
      </w:r>
    </w:p>
    <w:p>
      <w:pPr/>
      <w:r>
        <w:rPr/>
        <w:t xml:space="preserve">Titre translittéré: Zakon RF n° 3612-I ot 9 oktâbrâ 1992 g Osnovy zakonodatel'stva Rossijskoj Federacii o kul'ture (redakciâ ot 30.12.2009), Rossijskaâ gazeta, 31.08.2004, n° 188, str. 1, [Stat'â 4]</w:t>
      </w:r>
    </w:p>
    <w:p>
      <w:pPr/>
      <w:r>
        <w:rPr/>
        <w:t xml:space="preserve">Titre traduit: Loi de la Fédération de Russie n° 3612-I du 9 octobre 1992 Les fondements de la législation de la Fédération de Russie sur la culture (rédaction du 30.12.2009), Journal de Russie, 31.08.2004, n° 188, p. 1, [Article 4]</w:t>
      </w:r>
    </w:p>
    <w:p>
      <w:pPr/>
      <w:r>
        <w:rPr/>
        <w:t xml:space="preserve">Type: juridique - loi (national/fédéral)</w:t>
      </w:r>
    </w:p>
    <w:p>
      <w:pPr/>
      <w:r>
        <w:rPr/>
        <w:t xml:space="preserve">Langue: russe</w:t>
      </w:r>
    </w:p>
    <w:p>
      <w:pPr/>
      <w:r>
        <w:rPr/>
        <w:t xml:space="preserve">
</w:t>
      </w:r>
    </w:p>
    <w:p>
      <w:pPr/>
      <w:r>
        <w:rPr/>
        <w:t xml:space="preserve">Extrait E1956</w:t>
      </w:r>
    </w:p>
    <w:p>
      <w:pPr/>
      <w:r>
        <w:rPr/>
        <w:t xml:space="preserve">    Статья 4. Область применения Основ законодательства Российской Федерации о культуре.
Настоящие Основы регулируют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pPr/>
      <w:r>
        <w:rPr/>
        <w:t xml:space="preserve">    Article 4. Domaine d'application des Fondements de la législation de la Fédération de Russie sur la culture.
Les fondements présents régulent l'activité culturelle dans les domaines suivants :
localisation, étude, protection, restauration et utilisation des monuments culturels et historiques ;
littérature, cinématographie, art scénique, plastique et musical, architecture et design, art de la photographie, autres genres et types d'art ;
art populaire et artisanat, culture populaire dans ses manifestations telles que les langues, les dialectes et les parlers, le folklore, les rites et les coutumes, les toponymes historiques;(...).</w:t>
      </w:r>
    </w:p>
    <w:p>
      <w:pPr/>
      <w:r>
        <w:rPr/>
        <w:t xml:space="preserve">
</w:t>
      </w:r>
    </w:p>
    <w:p>
      <w:pPr/>
      <w:r>
        <w:rPr/>
        <w:t xml:space="preserve">
</w:t>
      </w:r>
    </w:p>
    <w:p>
      <w:pPr/>
      <w:r>
        <w:rPr>
          <w:b w:val="1"/>
          <w:bCs w:val="1"/>
        </w:rPr>
        <w:t xml:space="preserve">Document: D432</w:t>
      </w:r>
    </w:p>
    <w:p>
      <w:pPr/>
      <w:r>
        <w:rPr/>
        <w:t xml:space="preserve">Titre: Закон Республики Татарстан n° 1705 от 3.07.1998 г. О культуре, Республика Татарстан, 04.08.1998, n° 156 [Статья 3].</w:t>
      </w:r>
    </w:p>
    <w:p>
      <w:pPr/>
      <w:r>
        <w:rPr/>
        <w:t xml:space="preserve">Titre translittéré: Zakon Respubliki Tatarstan n° 1705 ot 03.07.1998 g O Kul'ture, Respublika Tatarstan, 04.08.1998, n° 156 [Stat'â 3]</w:t>
      </w:r>
    </w:p>
    <w:p>
      <w:pPr/>
      <w:r>
        <w:rPr/>
        <w:t xml:space="preserve">Titre traduit: Loi de la République de Tatarstan n° 1705 du 03.07.1998 sur la culture, République de Tatarstan, 04.08.1998, n° 156 [Article 3]</w:t>
      </w:r>
    </w:p>
    <w:p>
      <w:pPr/>
      <w:r>
        <w:rPr/>
        <w:t xml:space="preserve">Type: juridique - loi (régional)</w:t>
      </w:r>
    </w:p>
    <w:p>
      <w:pPr/>
      <w:r>
        <w:rPr/>
        <w:t xml:space="preserve">Langue: russe</w:t>
      </w:r>
    </w:p>
    <w:p>
      <w:pPr/>
      <w:r>
        <w:rPr/>
        <w:t xml:space="preserve">
</w:t>
      </w:r>
    </w:p>
    <w:p>
      <w:pPr/>
      <w:r>
        <w:rPr/>
        <w:t xml:space="preserve">Extrait E2022</w:t>
      </w:r>
    </w:p>
    <w:p>
      <w:pPr/>
      <w:r>
        <w:rPr/>
        <w:t xml:space="preserve">    Статья 3. Основные понятия
Для целей настоящего Закона используются следующие основные понятия:
культурная деятельность - деятельность по сохранению, созданию, распространению и освоению культурных ценностей;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литературы,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pPr/>
      <w:r>
        <w:rPr/>
        <w:t xml:space="preserve">    Article 3. Notions principales. 
Suite à la présente loi, les notions suivantes sont utilisées:
l'activité culturelle est une activité pour la conservation, la création, la diffusion et le développement des valeurs culturelles;
les valeurs culturelles sont les idéaux moraux et esthétiques, les normes et les exemples de comportement, les langues, les dialectes et les parlers, les traditions et les coutumes nationales, les toponymes historiques, le folklore, l'artisanat et les métiers d'art, les œuvres littéraires, les œuvres d'art, les méthodes et les résultats de la recherche scientifique sur les activités culturelles, les bâtiments ayant une importance historique et culturelle, les édifices, les objets et les technologies uniques du point de vue historique et culturel;</w:t>
      </w:r>
    </w:p>
    <w:p>
      <w:pPr/>
      <w:r>
        <w:rPr/>
        <w:t xml:space="preserve">
</w:t>
      </w:r>
    </w:p>
    <w:p>
      <w:pPr/>
      <w:r>
        <w:rPr/>
        <w:t xml:space="preserve">
</w:t>
      </w:r>
    </w:p>
    <w:p>
      <w:pPr/>
      <w:r>
        <w:rPr>
          <w:b w:val="1"/>
          <w:bCs w:val="1"/>
        </w:rPr>
        <w:t xml:space="preserve">Document: D433</w:t>
      </w:r>
    </w:p>
    <w:p>
      <w:pPr/>
      <w:r>
        <w:rPr/>
        <w:t xml:space="preserve">Titre: Закон Республики Татарстан n° 1705 от 3.07.1998 г. О культуре, Республика Татарстан, 04.08.1998, n° 156 [Статья 4].</w:t>
      </w:r>
    </w:p>
    <w:p>
      <w:pPr/>
      <w:r>
        <w:rPr/>
        <w:t xml:space="preserve">Titre translittéré: Zakon Respubliki Tatarstan n° 1705 ot 03.07.1998 g O Kul'ture, Respublika Tatarstan, 04.08.1998, n° 156 [Stat'â 4]</w:t>
      </w:r>
    </w:p>
    <w:p>
      <w:pPr/>
      <w:r>
        <w:rPr/>
        <w:t xml:space="preserve">Titre traduit: Loi de la République de Tatarstan n° 1705 du 03.07.1998 sur la culture, République de Tatarstan, 04.08.1998, n° 156 [Article 4]</w:t>
      </w:r>
    </w:p>
    <w:p>
      <w:pPr/>
      <w:r>
        <w:rPr/>
        <w:t xml:space="preserve">Type: juridique - loi (régional)</w:t>
      </w:r>
    </w:p>
    <w:p>
      <w:pPr/>
      <w:r>
        <w:rPr/>
        <w:t xml:space="preserve">Langue: russe</w:t>
      </w:r>
    </w:p>
    <w:p>
      <w:pPr/>
      <w:r>
        <w:rPr/>
        <w:t xml:space="preserve">
</w:t>
      </w:r>
    </w:p>
    <w:p>
      <w:pPr/>
      <w:r>
        <w:rPr/>
        <w:t xml:space="preserve">Extrait E2023</w:t>
      </w:r>
    </w:p>
    <w:p>
      <w:pPr/>
      <w:r>
        <w:rPr/>
        <w:t xml:space="preserve">    Статья 4. Область применения Закона Республики Татарстан "О культуре"
Настоящий Закон регулирует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языки, диалекты и говоры, фольклор, обычаи и обряды, исторические топонимы;</w:t>
      </w:r>
    </w:p>
    <w:p>
      <w:pPr/>
      <w:r>
        <w:rPr/>
        <w:t xml:space="preserve">    Article 4. Domaine d'application de la loi de la République de Tatarstan "Sur la culture"
Cette loi réglemente l'activité culturelle dans les domaines suivants:
l'identification, l'étude, la protection, la restauration et l'utilisation des monuments de l'histoire et de la culture;
la littérature, la cinématographie, l'art scénique, plastique et musical, l'architecture et le design, l'art de la photographie, autres formes et genres d'art;
l'artisanat et les métiers populaires de l'art, les langues, les dialectes et les parlers, le folklore, les rites et les coutumes, les toponymes historiques ;</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E0392, p. 16</w:t>
      </w:r>
    </w:p>
    <w:p>
      <w:pPr/>
      <w:r>
        <w:rPr/>
        <w:t xml:space="preserve">    Андийцы - коренное население высокогорья Западного Дагестана, родственны аварцам, к которым причисляются во время переписей. Общая численность (вместе с цезскими народами) — 55—60 тыс. чел. (1992, оценка). Верующие — мусульмане-сунниты. Пользуются русской и аварской письменностями. Языки их имеют большое количество диалектов и говоров.</w:t>
      </w:r>
    </w:p>
    <w:p>
      <w:pPr/>
      <w:r>
        <w:rPr/>
        <w:t xml:space="preserve">    Les Andijtsi représentent la population autochtone des hautes montagnes du Daghestan de l'Ouest, ils sont de la même origine que les Avars auxquels ils sont rattachés dans les recensements. La population totale (avec les peuples tsesques) est de 55-60 mille personnes. (estimation, 1992). La religion pratiquée est celle de sunnite. Ils utilisent les écritures russe et avare. Leurs langues ont beaucoup de dialectes et de parlers.</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Extrait E0386, p. 34</w:t>
      </w:r>
    </w:p>
    <w:p>
      <w:pPr/>
      <w:r>
        <w:rPr/>
        <w:t xml:space="preserve">    Говор — форма существования языка, минимальная диалектная разновидность общенародного языка. Обычно говорные особенности касаются лишь фонетики и лексики, а также специфики общественных функций (см.).</w:t>
      </w:r>
    </w:p>
    <w:p>
      <w:pPr/>
      <w:r>
        <w:rPr/>
        <w:t xml:space="preserve">    Parler : forme de l'existence de langue, une variation dialectale minimale de la langue commune. D'habitude, les particularités linguistiques locales concernent seulement la phonétique et le lexique ainsi que les spécificités des fonctions sociales (cf.).</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E0397, p. 39</w:t>
      </w:r>
    </w:p>
    <w:p>
      <w:pPr/>
      <w:r>
        <w:rPr/>
        <w:t xml:space="preserve">    Диалектология (от слова диалект и греч. logos слово, учение) — раздел лингвистики, изучающий диалекты (территориальные разновидности общенародного языка). Различают описательную и историческую Д. В первом случае изучаются существующие расхождения между диалектами (говорами) в плане синхронном.</w:t>
      </w:r>
    </w:p>
    <w:p>
      <w:pPr/>
      <w:r>
        <w:rPr/>
        <w:t xml:space="preserve">    La dialectologie (du mot "dialecte" et du grec logos "mot, doctrine") est une discipline linguistique qui étudie les dialectes (variations territoriales de la langue commune). On fait la distinction entre la dialectologie descriptive et la dialectologie historique. Dans le premier cas on étudie les différences synchroniques entre les dialectes (parlers).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Extrait E0402, p. 172</w:t>
      </w:r>
    </w:p>
    <w:p>
      <w:pPr/>
      <w:r>
        <w:rPr/>
        <w:t xml:space="preserve">    Этническая группа — а) территориальная часть какого-нибудь народа (этноса), у которой существуют свои особенности в культуре, быте и, главным образом, в языке (свой особый диалект или говор), а также свое особое самосознание и, конечно же, свое самоназвание (этим они отличаются от этнографической группы — см.). Скажем, этнической группой у украинцев считают гуцулов и лемков, у грузин — мингрелов и сванов (см.); б) небольшая часть какого-нибудь этноса, территориально отошедшая от него в результате миграции, но сохранившая прежнее этническое самосознание, язык, особенности культуры и быта.</w:t>
      </w:r>
    </w:p>
    <w:p>
      <w:pPr/>
      <w:r>
        <w:rPr/>
        <w:t xml:space="preserve">    Le groupe ethnique - a) une partie territoriale d'un peuple (ou ethnie) qui a ses propres spécificités culturelles, ses coutumes et, tout d'abord, dans la langue, son propre dialecte ou parler, aussi bien qu'une même auto-conscience et un autonyme (ce fait les distingue du groupe ethnographique, cf.). Par exemple, chez les Ukrainiens les Hutsules et les Lemkos sont considérés comme les groupes ethniques tandis que, chez les Géorgiens, il y a des Mingréliens et des Svanes; b) une partie d'une ethnicité qui est devenue territorialement séparée comme le résultat d'une migration, mais qui a gardé tout d'abord la conscience ethnique, la langue, les spécificités de la culture et des coutumes.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E1884, p. 150</w:t>
      </w:r>
    </w:p>
    <w:p>
      <w:pPr/>
      <w:r>
        <w:rPr/>
        <w:t xml:space="preserve">    А. Шегрен в своей грамматике основательно разъясняет "письмена и прозношение оных", старается обозначить буквами все звуки языка. Он насчитывает в осетинском языке (во всех диалектах и говорах) 46-47 звуков. Эти звуки встречаются в отдельных диалектах не все. В тагаурском (как автор называет иронский диалект) он насчитывает 35-36 звуков, в дигорском – 43, в юго-осетинских говорах – около 37 звуков.</w:t>
      </w:r>
    </w:p>
    <w:p>
      <w:pPr/>
      <w:r>
        <w:rPr/>
        <w:t xml:space="preserve">    Dans sa grammaire, A. Šegren explique soigneusement l'écriture et la prononciation de ces langues , il essaye de définir tous les sons de la langue par des lettres. Il compte 46-47 sons dans la langue ossète (dans tous les dialectes et tous les parlers). On trouve ces sons dans certains dialectes, mais pas tous. Dans le tagaour (l'auteur appelle ainsi le dialecte iron), il compte 35-36 sons, dans le digor, il y en a 43, dans les parlers ossètes du sud, environ 37 sons.</w:t>
      </w:r>
    </w:p>
    <w:p>
      <w:pPr/>
      <w:r>
        <w:rPr/>
        <w:t xml:space="preserve">
</w:t>
      </w:r>
    </w:p>
    <w:p>
      <w:pPr/>
      <w:r>
        <w:rPr/>
        <w:t xml:space="preserve">Extrait E1885, p. 152</w:t>
      </w:r>
    </w:p>
    <w:p>
      <w:pPr/>
      <w:r>
        <w:rPr/>
        <w:t xml:space="preserve">    Осетинские тексты на арабском шрифте были обнаружены мною в 1957 г. (...) Для филолога указанный текст представляет специальный интерес, так как автор переводил с арабского сразу на оба диалекта осетинского языка (иронский и дигорский). Более того, в книге автор выделил также перевод на уаллагкомовский смешанный иронско-дигорский говор.</w:t>
      </w:r>
    </w:p>
    <w:p>
      <w:pPr/>
      <w:r>
        <w:rPr/>
        <w:t xml:space="preserve">    J'ai trouvé des textes ossètes en écriture arabe en 1957. (…) Pour un philologue ce texte représente un intérêt particulier, puisque l'auteur traduisait de l'arabe directement en deux dialectes de la langue ossète (l'iron et le digor). D'autant plus que l'auteur a également mis en avant une traduction dans un parler mélangé irono-digor d'ouallakhom.</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E0422, p. 73</w:t>
      </w:r>
    </w:p>
    <w:p>
      <w:pPr/>
      <w:r>
        <w:rPr/>
        <w:t xml:space="preserve">    Обьектом наблюдений Дж. Гамперца было население одного поселка на севере Hорвегии, образующее единый речевой коллектив, члены которого обнаруживают однотипные закономерности речевого использования единого репертуара языковых средств и, в частности, переключения с литературного языка на диалект. В качестве примеров языковых коллективов можно привести коллективы носителей языка, диалекта, говора, а в качестве примеров языковых общностей -социальные и социально-демографические категории населения многоязычной страны, характеризующиеся как социальными так и языковыми признаками.</w:t>
      </w:r>
    </w:p>
    <w:p>
      <w:pPr/>
      <w:r>
        <w:rPr/>
        <w:t xml:space="preserve">    La population d'un village au nord de la Norvège, formant un collectif de parole, dont les membres manifestent des régularités similaires dans l'utilisation des mêmes ressources linguistiques, et notamment, du passage de la langue littéraire au dialecte, a fait l'objet des observations de J. Gumperz.Comme exemple de collectifs de langue nous pouvons évoquer les communautés de locuteurs de langue, de dialecte ou de parler, et, comme exemple de communauté de langue nous pouvons évoquer des catégories sociales et socio-démographiques de la population d'un pays plurinational se caractérisant par des signes sociaux et linguistiques.</w:t>
      </w:r>
    </w:p>
    <w:p>
      <w:pPr/>
      <w:r>
        <w:rPr/>
        <w:t xml:space="preserve">
</w:t>
      </w:r>
    </w:p>
    <w:p>
      <w:pPr/>
      <w:r>
        <w:rPr/>
        <w:t xml:space="preserve">Extrait E0423, p. 74</w:t>
      </w:r>
    </w:p>
    <w:p>
      <w:pPr/>
      <w:r>
        <w:rPr/>
        <w:t xml:space="preserve">    Так, например, иерархическому ряду микро- и макросистем говоров и диалектов русского языка соответствует иерархический ряд языковых коллективов (коллективов носителей говоров, диалектов, языка в целом), использующих эти системы. В ряде случаев одна и та же социолингвистическая единица (например, коллектив носителей того или иного говора или диалекта) может рассматриваться и как языковой и как речевой коллектив в зависимости от того, что является предметом анализа - языковая структура используемой данным коллективом коммуникативной системы или же реализация этой структуры в речи.</w:t>
      </w:r>
    </w:p>
    <w:p>
      <w:pPr/>
      <w:r>
        <w:rPr/>
        <w:t xml:space="preserve">    Ainsi, par exemple, à une hiérarchie de micro et macro-systèmes de parlers et de dialectes de la langue russe correspond une hiérarchie des communautés de langue (collectifs de locuteurs de parlers, de dialectes, de la langue en général), utilisant ces systèmes. Dans un certain nombre de cas, la même unité sociolinguistique (par exemple, le collectif de locuteurs de tel ou tel parler ou dialecte) peut être considérée à la fois comme collectif de langue et comme collectif de parole, en fonction de l'objet de l'analyse : soit c'est la structure du système communicatif utilisée par ce collectif, soit la réalisation de cette structure dans la parole.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E0453, p. 133</w:t>
      </w:r>
    </w:p>
    <w:p>
      <w:pPr/>
      <w:r>
        <w:rPr/>
        <w:t xml:space="preserve">    При определении языковой ситуации возникает необходимость в родовом понятии, которое охватывало бы как язык, так и любую его разновидность (литературный стандарт, диалект, говор и т.п.), обслуживающую данный коллектив. Л.Б.Никольский использует в своем первом определении термин "языковое образование". В работах других авторов в этом смысле употребляется иногда термин идиом, который характеризуется Д.Брозовичем как "общий", качественно иерархически нейтральный, т.е. не имеющий специфического значения.</w:t>
      </w:r>
    </w:p>
    <w:p>
      <w:pPr/>
      <w:r>
        <w:rPr/>
        <w:t xml:space="preserve">    Pour déterminer la situation linguistique il apparaît la nécessité d'une notion générique qui engloberait et la langue et toutes ses variétés (standard littéraire, dialecte, parler etc.) servant à un collectif donné. L.B. Nikol'skij utilise dans sa première formulation le terme de "création linguistique". Dans les travaux d'autres auteurs est utilisé dans ce sens le terme de "idiome" qui est caractérisé par D. Brozovič comme "commun", qualitativement hiérarchiquement neutre, c'est-à-dire sans une signification spécifique.</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E2107, p. 104</w:t>
      </w:r>
    </w:p>
    <w:p>
      <w:pPr/>
      <w:r>
        <w:rPr/>
        <w:t xml:space="preserve">    К внутриэтническим национально-языковым конфликтам следует также отнести наметившуюся в последние годы тенденцию национального и языкового обособления и самоопределения субэтнических групп со своими диалектами и говорами, близкими к некоторым языкам тюркских народов. Например, кумандинцы, телеуты, тубалары, челканцы в составе населения Республики Алтай, тувинцы-тоджинцы в Республике Тува, чулымцы с языком, близким к хакасском и пр. (...).Проблема сохранения и самостоятельного развития этих субэтнических групп и их диалектов, как и ранее выделившихся миноритарных народностей долган, тофаларов, шорцев со своими письменными языками, близкими к якутскому, тувинскому и хакасскому языкам, весьма сложна и спорна ввиду крайней малочисленности этих субэтносов, отсутствия у большинства из них автономии, а также структурной неразвитости их языков. Национально-языковая политика, способствующая этническому дроблению и искусственной консервации языков и говоров, только ускоряет процессы национальной и языковой ассимиляции всех этих субэтнических групп в русской среде.</w:t>
      </w:r>
    </w:p>
    <w:p>
      <w:pPr/>
      <w:r>
        <w:rPr/>
        <w:t xml:space="preserve">    Apparue ces dernières années, la tendance de l'isolement national et linguistique et de l'autodétermination des sous-groupes ethniques avec leurs propres dialectes et parlers, proches de certaines langues des peuples turciques, fait partie des conflits nationaux-linguistiques interethniques. Ce sont, par exemple, les Koumandines, les Téléoutes, les Toubalars, les Tchelkanes dans la population de la République de l'Altaï, les Touvines-Todjines dans la République de Touva, les Tchoulymes avec la langue proche du khakasse, etc (...). Le problème de la préservation et du développement indépendant de ces sous-groupes ethniques et de leurs dialectes, comme des peuples minoritaires précédemment émergés, les Dolganes, les Tofalars et les Chors avec leur propres langues écrites, proches du yakoute, du touvain et du khakasse, est très complexe et controversé en raison du très petit nombre de ces sous-groupes ethniques, de l'absence pour la plupart d'entre eux d'une autonomie et du sous-développement structurel de leurs langues. La politique nationale linguistique qui favorise la fragmentation ethnique et la préservation artificielle des langues et des parlers, ne fait qu'accélérer les processus d'assimilation nationale et linguistique de tous ces sous-groupes ethniques dans l'environnement russe.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E2156, p. 170-171</w:t>
      </w:r>
    </w:p>
    <w:p>
      <w:pPr/>
      <w:r>
        <w:rPr/>
        <w:t xml:space="preserve">    Вепсский язык подразделяется на три диалекта: северновепсский (или прионежский), средневепсский, который подразделяется на два говора – восточный (или кууйскопондальский) и западный (или оятский), и южновепсский.
(...)
На северновепсском диалекте говорят жители Прионежского р-на Карелии, на средневепсском- жители вепсских территорий Вологодской (Бабаевский и Вытегорский р-ны) и Ленинградской обл. (Подпорожский, Тихвинский и Лодейнопольский р-ны); в Ленинградской обл. проживает и немногочисленная группа вепсов, которые говорят на южновепсском диалекте (Бокситогорский р-н). Различия между диалектами прослеживаются на всех уровнях: фонетическом, морфологическом, лексическом, но тем не менее носители различных диалектов достаточно хорошо понимают друг друга.</w:t>
      </w:r>
    </w:p>
    <w:p>
      <w:pPr/>
      <w:r>
        <w:rPr/>
        <w:t xml:space="preserve">    La langue vepse est subdivisée en trois dialectes: vepse du nord (ou d'Onega), vepse central, qui est subdivisé en deux parlers : de l'est (ou de Kujskopondal'sk) et de l'ouest (ou d'Oyat) et vepse du sud.
(...)
Les habitants du raïon Prionežskij de la Carélie parlent le dialecte vepse du nord, les habitants des territoires vepses de l'oblast de Vologda (les raïons Babaevskij et Vytegorskij) et de Leningrad (les raïons Podporožskij, Lodeinopolskiy et de Tikhvine) parlent le vepse central. Dans l'oblast de Leningrad habite également un groupe de Vepses peu nombreux qui parlent le dialecte vepse du sud (raïon de Boksitogorsk). Les différences entre les dialectes peuvent être observées à tous les niveaux : phonétique, morphologique, lexical, mais néanmoins les locuteurs de différents dialectes se comprennent assez bien.</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E2193, p. 211</w:t>
      </w:r>
    </w:p>
    <w:p>
      <w:pPr/>
      <w:r>
        <w:rPr/>
        <w:t xml:space="preserve">    Уже в предисловии к книге А.А. Магометова "Кубачинский язык", написанном А.С. Чикобава, мы читаем: Разграничить язык и диалект подчас бывает нелегко. Однако, на наш взгляд, правы те авторы, которые видят в речи кубачинцев один из диалектов даргинского языка, который сильно дифференциирован в виде многочисленных говоров, объединяемых в диалекты: акушинский, урахинский, цудахарский, хайдакский (или кайтагский). К кругу этих диалектов, как показывает убедительно предлежащее исследование А.А. Магометова, относится и кубачинский...заглавие книги говорит о кубачинском языке, следуя традиции.</w:t>
      </w:r>
    </w:p>
    <w:p>
      <w:pPr/>
      <w:r>
        <w:rPr/>
        <w:t xml:space="preserve">    Déjà dans la préface du livre de A. A. Magometov "La langue koubatchi", écrite par A. S. Tchikobava, nous lisons : Il n'est pas toujours facile de distinguer la langue du dialecte. Cependant, nous donnons raison aux auteurs qui voient dans le discours des Koubatchis un des dialectes du dargwa qui est fortement différencié sous la forme de nombreux parlers, regroupés dans les dialectes : akouchinskij, ourahinskij, de Tsudakhar, de Khaidak (ou kaytagskiy). Le koubatchi fait partie de ce cercle de dialectes, comme le démontre persuasivement l'étude d'A. A. Magometov... dans le titre du livre il s'agit de la langue koubatchi, suivant la tradition.</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Extrait E2224, p. 261</w:t>
      </w:r>
    </w:p>
    <w:p>
      <w:pPr/>
      <w:r>
        <w:rPr/>
        <w:t xml:space="preserve">    Данная система эвенской графики не получила одобрения в других районах проживания эвенов- за пределами Якутии, где она оказалась совершенно непонятной. Этому имелись три причины: первая - незнакомство восточных эвенов с якутской графикой, с ее фонетико-фонематическими принципами, вторая - наличие достаточно устойчивых представлений о письменной форме эвенского языка, сформированных непрерывным преподаванием эвенского языка в школе и изданием литературы, третья - резкие диалектные различия между восточным наречием эвенского языка и говорами Якутии на всех уровнях: смена графики и издаваемые тексты по существу кодифицировали в среде эвенов Якутии такие грамматические формы и словоупотребление, которые были совершенно непонятны восточным эвенам.
В Магаданской обл. и на Камчатке в эти годы продолжала использоваться та эвенская графика, которая была принята в 1958 г., хотя и со своими региональными особенностями. Регулярное переиздание учебных пособий для школ способствовало сохранению традиционных норм письменного эвенского языка, по-прежнему ориентировавшегося на говоры восточного наречия.</w:t>
      </w:r>
    </w:p>
    <w:p>
      <w:pPr/>
      <w:r>
        <w:rPr/>
        <w:t xml:space="preserve">    Ce système de la graphie évène n'a pas été approuvé dans d'autres régions de l'habitat des Évènes : en dehors de la Yakoutie ce système était complètement incompréhensible. Il y avait trois raisons à cela. Premièrement, les Évènes de l'Est ne connaissaient pas la graphie yakoute, ses principes phonétiques et phonémiques. Deuxièmement, il existait des concepts suffisamment stables de la forme écrite de la langue évène, formés par un enseignement continu de la langue évène dans les écoles et par la publication de la littérature. Troisièmement, il existait de grandes différences dialectales entre la variété linguistique de l'Est de la langue évène et les parlers de la Yakoutie à tous les niveaux : la modification de la graphie et les textes publiés ont codifié dans le milieu des Évènes de la Yakoutie des formes grammaticales et celles de l'usage des mots qui étaient totalement incompréhensibles pour les Évènes de l'Est.
Dans l'oblast de Magadan et en Kamchatka à cette époque continuait à être utilisée la graphie évène adoptée en 1958, mais avec ses particularités régionales. La réédition régulière des manuels pour les écoles a contribué à la préservation des normes traditionnelles de la langue écrite évène, toujours orientée vers les parlers de la variété linguistique de l'Est.</w:t>
      </w:r>
    </w:p>
    <w:p>
      <w:pPr/>
      <w:r>
        <w:rPr/>
        <w:t xml:space="preserve">
</w:t>
      </w:r>
    </w:p>
    <w:p>
      <w:pPr/>
      <w:r>
        <w:rPr/>
        <w:t xml:space="preserve">
</w:t>
      </w:r>
    </w:p>
    <w:p>
      <w:pPr/>
      <w:r>
        <w:rPr>
          <w:b w:val="1"/>
          <w:bCs w:val="1"/>
        </w:rPr>
        <w:t xml:space="preserve">Document: D116</w:t>
      </w:r>
    </w:p>
    <w:p>
      <w:pPr/>
      <w:r>
        <w:rPr/>
        <w:t xml:space="preserve">Titre: Литературный язык</w:t>
      </w:r>
    </w:p>
    <w:p>
      <w:pPr/>
      <w:r>
        <w:rPr/>
        <w:t xml:space="preserve">Titre translittéré: Literaturnyj jâzyk</w:t>
      </w:r>
    </w:p>
    <w:p>
      <w:pPr/>
      <w:r>
        <w:rPr/>
        <w:t xml:space="preserve">Titre traduit: La langue littéraire</w:t>
      </w:r>
    </w:p>
    <w:p>
      <w:pPr/>
      <w:r>
        <w:rPr/>
        <w:t xml:space="preserve">Type: linguistique - article d'ouvrage collectif</w:t>
      </w:r>
    </w:p>
    <w:p>
      <w:pPr/>
      <w:r>
        <w:rPr/>
        <w:t xml:space="preserve">Langue: russe</w:t>
      </w:r>
    </w:p>
    <w:p>
      <w:pPr/>
      <w:r>
        <w:rPr/>
        <w:t xml:space="preserve">Auteur: БРОДСКИЙ, Н. [BRODSKIJ, N.]</w:t>
      </w:r>
    </w:p>
    <w:p>
      <w:pPr/>
      <w:r>
        <w:rPr/>
        <w:t xml:space="preserve">Auteur: ЛАВРЕЦКИЙ, А. [LAVRECKIJ, A.]</w:t>
      </w:r>
    </w:p>
    <w:p>
      <w:pPr/>
      <w:r>
        <w:rPr/>
        <w:t xml:space="preserve">Auteur: ЛУНИН, Э. [LUNIN, È.]</w:t>
      </w:r>
    </w:p>
    <w:p>
      <w:pPr/>
      <w:r>
        <w:rPr/>
        <w:t xml:space="preserve">Auteur: ЛЬВОВ-РОГАЧЕВСКИЙ, В. [LʹVOV-ROGAČEVSKIJ, V.]</w:t>
      </w:r>
    </w:p>
    <w:p>
      <w:pPr/>
      <w:r>
        <w:rPr/>
        <w:t xml:space="preserve">Auteur: РОЗАНОВ, М. [ROZANOV, M.]</w:t>
      </w:r>
    </w:p>
    <w:p>
      <w:pPr/>
      <w:r>
        <w:rPr/>
        <w:t xml:space="preserve">Auteur: ЧЕШИХИН-ВЕТРИНСКИЙ, В. [ČEŠIHIN-VETRINSKIJ, V.]</w:t>
      </w:r>
    </w:p>
    <w:p>
      <w:pPr/>
      <w:r>
        <w:rPr/>
        <w:t xml:space="preserve">In :Словарь литературных терминов Slovar' literaturnyh terminov(trad. :Le dictionnaire des termes linguistiques)</w:t>
      </w:r>
    </w:p>
    <w:p>
      <w:pPr/>
      <w:r>
        <w:rPr/>
        <w:t xml:space="preserve">Ed. : Л. Д. Френкель, Москва, 1925, pp. 576</w:t>
      </w:r>
    </w:p>
    <w:p>
      <w:pPr/>
      <w:r>
        <w:rPr/>
        <w:t xml:space="preserve">
</w:t>
      </w:r>
    </w:p>
    <w:p>
      <w:pPr/>
      <w:r>
        <w:rPr/>
        <w:t xml:space="preserve">Extrait E0136, p. 289</w:t>
      </w:r>
    </w:p>
    <w:p>
      <w:pPr/>
      <w:r>
        <w:rPr/>
        <w:t xml:space="preserve">    В основе литературного языка может лежать какое-нибудь местное наречие или говор, например, наречие города, являющегося политическим или культурным центром, или наречие господствующих классов населения, или чужой язык, усвоенный в качестве литературного языка у другого народа.</w:t>
      </w:r>
    </w:p>
    <w:p>
      <w:pPr/>
      <w:r>
        <w:rPr/>
        <w:t xml:space="preserve">    A la base d’une langue littéraire peut se trouver une variété locale ou un parler, par exemple, la variété d’une ville, centre politique ou culturel, ou la variété des classes dominantes de la population, ou une langue étrangère, assimilée en tant que langue littéraire d’un autre peuple.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E2231, p. 343-344</w:t>
      </w:r>
    </w:p>
    <w:p>
      <w:pPr/>
      <w:r>
        <w:rPr/>
        <w:t xml:space="preserve">    Во второй половине ХХ в. влияние шугнанского на баджувский диалект и шахдаринский говор усилилось, и это свидетельствует о том, что имеется тенденция к слиянию баджувского диалекта и шахдаринского говора с собственно шугнанским языком.</w:t>
      </w:r>
    </w:p>
    <w:p>
      <w:pPr/>
      <w:r>
        <w:rPr/>
        <w:t xml:space="preserve">    Dans la seconde moitié du XXe siècle l'influence du dialecte shughni sur le dialecte badžu et sur le parler de Chakhdara a augmenté, ce qui témoigne qu'il existe une tendance de fusion du dialecte badžu et du parler de Chakhdara avec la langue shughni proprement dite.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2025-07-23T21:56:08+02:00</dcterms:created>
  <dcterms:modified xsi:type="dcterms:W3CDTF">2025-07-23T21:56:08+02:00</dcterms:modified>
</cp:coreProperties>
</file>

<file path=docProps/custom.xml><?xml version="1.0" encoding="utf-8"?>
<Properties xmlns="http://schemas.openxmlformats.org/officeDocument/2006/custom-properties" xmlns:vt="http://schemas.openxmlformats.org/officeDocument/2006/docPropsVTypes"/>
</file>