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N0070</w:t>
      </w:r>
    </w:p>
    <w:p>
      <w:pPr/>
      <w:r>
        <w:rPr>
          <w:sz w:val="24"/>
          <w:szCs w:val="24"/>
          <w:b w:val="1"/>
          <w:bCs w:val="1"/>
        </w:rPr>
        <w:t xml:space="preserve">Notion originale: язык коренной национальности союзной республики</w:t>
      </w:r>
    </w:p>
    <w:p>
      <w:pPr/>
      <w:r>
        <w:rPr>
          <w:sz w:val="24"/>
          <w:szCs w:val="24"/>
          <w:b w:val="1"/>
          <w:bCs w:val="1"/>
        </w:rPr>
        <w:t xml:space="preserve">Notion translittere: âzyk korennoj nacionalʹnosti soûznoj respubliki</w:t>
      </w:r>
    </w:p>
    <w:p>
      <w:pPr/>
      <w:r>
        <w:rPr>
          <w:sz w:val="24"/>
          <w:szCs w:val="24"/>
          <w:b w:val="1"/>
          <w:bCs w:val="1"/>
        </w:rPr>
        <w:t xml:space="preserve">Notion traduite: langue de nationalité autochtone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