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N0699</w:t>
      </w:r>
    </w:p>
    <w:p>
      <w:pPr/>
      <w:r>
        <w:rPr>
          <w:sz w:val="24"/>
          <w:szCs w:val="24"/>
          <w:b w:val="1"/>
          <w:bCs w:val="1"/>
        </w:rPr>
        <w:t xml:space="preserve">Notion originale: језик националне мањине</w:t>
      </w:r>
    </w:p>
    <w:p>
      <w:pPr/>
      <w:r>
        <w:rPr>
          <w:sz w:val="24"/>
          <w:szCs w:val="24"/>
          <w:b w:val="1"/>
          <w:bCs w:val="1"/>
        </w:rPr>
        <w:t xml:space="preserve">Notion translittere: jezik nacionalne manjine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D595</w:t>
      </w:r>
    </w:p>
    <w:p>
      <w:pPr/>
      <w:r>
        <w:rPr/>
        <w:t xml:space="preserve">Titre: Закон о заштити права и слобода националних мањина, "Сл. лист СРЈ", бр. 11/2002, "Сл. лист СЦГ", бр. 1/2003 – Уставна повеља и "Сл. гласник РС", бр. 72/2009 – др. закон, 97/2013 – одлука УС и 47/2018.</w:t>
      </w:r>
    </w:p>
    <w:p>
      <w:pPr/>
      <w:r>
        <w:rPr/>
        <w:t xml:space="preserve">Type: juridique - loi (national/fédéral)</w:t>
      </w:r>
    </w:p>
    <w:p>
      <w:pPr/>
      <w:r>
        <w:rPr/>
        <w:t xml:space="preserve">Langue: serbe</w:t>
      </w:r>
    </w:p>
    <w:p>
      <w:pPr/>
      <w:r>
        <w:rPr/>
        <w:t xml:space="preserve">
</w:t>
      </w:r>
    </w:p>
    <w:p>
      <w:pPr/>
      <w:r>
        <w:rPr/>
        <w:t xml:space="preserve">Extrait E3015</w:t>
      </w:r>
    </w:p>
    <w:p>
      <w:pPr/>
      <w:r>
        <w:rPr/>
        <w:t xml:space="preserve">    Прописи аутономне покрајине објављују се на језицима националних мањина у складу са статутом и општим актима аутономне покрајине.
Прописи јединица локалне самоуправе објављују се на језицима националних мањина, у складу са статутом и општим актима јединица локалне самоуправе, у складу са законом.</w:t>
      </w:r>
    </w:p>
    <w:p>
      <w:pPr/>
      <w:r>
        <w:rPr/>
        <w:t xml:space="preserve">    Les réglementations de la province autonome sont publiées dans les langues des minorités nationales conformément au statut et aux actes réglementaires de la province autonome.
Les réglementations des unités d'autonomie locale sont publiés dans les langues des minorités nationales, conformément au statut et aux actes réglementaires des unités d'autonomie locale, conformément à la loi.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