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N0680</w:t>
      </w:r>
    </w:p>
    <w:p>
      <w:pPr/>
      <w:r>
        <w:rPr>
          <w:sz w:val="24"/>
          <w:szCs w:val="24"/>
          <w:b w:val="1"/>
          <w:bCs w:val="1"/>
        </w:rPr>
        <w:t xml:space="preserve">Notion originale: langue de minorité ethnique</w:t>
      </w:r>
    </w:p>
    <w:p>
      <w:pPr/>
      <w:r>
        <w:rPr>
          <w:sz w:val="24"/>
          <w:szCs w:val="24"/>
          <w:b w:val="1"/>
          <w:bCs w:val="1"/>
        </w:rPr>
        <w:t xml:space="preserve">Notion traduite: langue de minorité ethnique</w:t>
      </w:r>
    </w:p>
    <w:p>
      <w:pPr/>
      <w:r>
        <w:rPr/>
        <w:t xml:space="preserve">
Autre notion traduite avec le même therme: (russe) язык этнического меньшинства</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E2931, p. 18-19</w:t>
      </w:r>
    </w:p>
    <w:p>
      <w:pPr/>
      <w:r>
        <w:rPr/>
        <w:t xml:space="preserve">    Dans d’autres cas, des propriétés particulières caractérisent des notions qui n’en demeurent pas moins voisines de celle de "langue régionale". Ainsi, celles de "langue de minorité ethnique" et de "langue de minorité nationale", présentes en Europe de l’Est (Pologne, Roumanie, Ukraine par exemple) et en Russie (язык национального меньшинства), sans mettre en avant l’appartenance à l’ensemble d’un pays comme c’est le cas pour "langue de France", précisent en revanche une relation avec le fait minoritaire dont elles participent mais aussi avec des groupes de population marqués par une culture ethnique ou nationale. Elles s’appliquent en outre à des langues historiquement liées à des territoires.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2025-06-29T20:41:26+02:00</dcterms:created>
  <dcterms:modified xsi:type="dcterms:W3CDTF">2025-06-29T20:41:26+02:00</dcterms:modified>
</cp:coreProperties>
</file>

<file path=docProps/custom.xml><?xml version="1.0" encoding="utf-8"?>
<Properties xmlns="http://schemas.openxmlformats.org/officeDocument/2006/custom-properties" xmlns:vt="http://schemas.openxmlformats.org/officeDocument/2006/docPropsVTypes"/>
</file>