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N0677</w:t>
      </w:r>
    </w:p>
    <w:p>
      <w:pPr/>
      <w:r>
        <w:rPr>
          <w:sz w:val="24"/>
          <w:szCs w:val="24"/>
          <w:b w:val="1"/>
          <w:bCs w:val="1"/>
        </w:rPr>
        <w:t xml:space="preserve">Notion originale: culture et langue nationales</w:t>
      </w:r>
    </w:p>
    <w:p>
      <w:pPr/>
      <w:r>
        <w:rPr>
          <w:sz w:val="24"/>
          <w:szCs w:val="24"/>
          <w:b w:val="1"/>
          <w:bCs w:val="1"/>
        </w:rPr>
        <w:t xml:space="preserve">Notion traduite: culture et langue nationales</w:t>
      </w:r>
    </w:p>
    <w:p>
      <w:pPr/>
      <w:r>
        <w:rPr/>
        <w:t xml:space="preserve">
Autre notion traduite avec le même therme: (russe) национальные язык и культура</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E2927, p. 17</w:t>
      </w:r>
    </w:p>
    <w:p>
      <w:pPr/>
      <w:r>
        <w:rPr/>
        <w:t xml:space="preserve">    D’autres notions proches associent la langue régionale à la culture régionale. C’est ainsi le cas par exemple en France et en Russie des trois notions retenues en suivant :
(...) Langue et culture régionales
Par exemple, dans la circulaire n° 2001-166 du 5 septembre 2001 sur le Développement de l’enseignement des langues et cultures régionales à l’école, au collège et au lycée :
"L’article L. 312-10 du code de l’éducation a réaffirmé la possibilité de dispenser un enseignement des langues et cultures régionales tout au long de la scolarité dans les régions où celles-ci sont en usage. L’éducation nationale se doit de faire vivre ce patrimoine culturel, de veiller au développement des langues régionales et de contribuer à leur transmission. Oublier cette responsabilité ne serait pas un signe de modernité. Ce serait au contraire une perte de substance de l’héritage culturel national (...)".
(...) Culture et langue régionales
Par exemple, dans la circulaire du 17 juillet 1998 "relative à la préparation des prochains contrats État - Régions (stratégie de l’État dans la région)" :
"La politique d’aménagement du territoire en matière de culture (…) prend en considération les identités culturelles et linguistiques régionales. Elle assure la valorisation des cultures et des langues régionales".
(...) Национальные язык и культура (culture et langue nationales)
D’autres notions encore, comme en Russie, demeurent proches de ces dernières tout en s’en distinguant par leurs propriétés juridiques. C’est par exemple le cas de "culture et langue nationales" (национальные язык и культура) qui s’applique à un large éventail de langues :
"La conception [de la politique nationale de l’État de la Fédération de Russie] prend en compte la nécessité d’assurer l’unité et l’intégrité de la Russie par rapport aux nouvelles conditions historiques du développement de ses structures étatiques, la coordination des intérêts communs nationaux et des intérêts de tous les peuples habitant sur son territoire, l’établissement de leur coopération multilatérale, le développement des cultures et langues nationales [национальных языков и культур]" [Décret n° 909 du 17.06.1996 sur l'adoption de la conception de la politique nationale d'État de la Fédération de Russie du 15.06.1996, Recueil des lois de la Fédération de Russie, n° 25, p. 3010 ; voir extrait E1959].</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2024-05-16T15:48:41+02:00</dcterms:created>
  <dcterms:modified xsi:type="dcterms:W3CDTF">2024-05-16T15:48:41+02:00</dcterms:modified>
</cp:coreProperties>
</file>

<file path=docProps/custom.xml><?xml version="1.0" encoding="utf-8"?>
<Properties xmlns="http://schemas.openxmlformats.org/officeDocument/2006/custom-properties" xmlns:vt="http://schemas.openxmlformats.org/officeDocument/2006/docPropsVTypes"/>
</file>