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N0671</w:t>
      </w:r>
    </w:p>
    <w:p>
      <w:pPr/>
      <w:r>
        <w:rPr>
          <w:sz w:val="24"/>
          <w:szCs w:val="24"/>
          <w:b w:val="1"/>
          <w:bCs w:val="1"/>
        </w:rPr>
        <w:t xml:space="preserve">Notion originale: langue régionale endogène</w:t>
      </w:r>
    </w:p>
    <w:p>
      <w:pPr/>
      <w:r>
        <w:rPr>
          <w:sz w:val="24"/>
          <w:szCs w:val="24"/>
          <w:b w:val="1"/>
          <w:bCs w:val="1"/>
        </w:rPr>
        <w:t xml:space="preserve">Notion traduite: langue régionale endogène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E2925, p. 16</w:t>
      </w:r>
    </w:p>
    <w:p>
      <w:pPr/>
      <w:r>
        <w:rPr/>
        <w:t xml:space="preserve">    Cette notion [langue régionale endogène], qui s’applique en Belgique dans la Communauté française surtout à des langues par élaboration (wallon, picard, lorrain, champenois, luxembourgeois, brabançon, limbourgeois), concerne aussi le néerlandais (standard et dialectal) dans quelques communes francisées proches de la frontière avec les Pays-Bas. Elle a été officialisée par le Décret du Conseil de la Communauté française relatif aux langues régionales endogènes de la Communauté française (24/12/1990) :
"Article 1er : La Communauté française de Belgique reconnaît en son sein la spécificité linguistique et culturelle de ceux qui usent à la fois d’une langue régionale endogène et du français, langue officielle de la Communauté.
Article 2 : Les langues régionales endogènes font partie du patrimoine culturel de la Communauté; cette dernière a donc le devoir de les préserver, d’en favoriser l’étude scientifique et l’usage, soit comme outil de communication, soit comme moyen d’expression".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