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N0669</w:t>
      </w:r>
    </w:p>
    <w:p>
      <w:pPr/>
      <w:r>
        <w:rPr>
          <w:sz w:val="24"/>
          <w:szCs w:val="24"/>
          <w:b w:val="1"/>
          <w:bCs w:val="1"/>
        </w:rPr>
        <w:t xml:space="preserve">Notion originale: langue minoritaire historique</w:t>
      </w:r>
    </w:p>
    <w:p>
      <w:pPr/>
      <w:r>
        <w:rPr>
          <w:sz w:val="24"/>
          <w:szCs w:val="24"/>
          <w:b w:val="1"/>
          <w:bCs w:val="1"/>
        </w:rPr>
        <w:t xml:space="preserve">Notion traduite: langue minoritaire historique</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E2914, p. 6-7</w:t>
      </w:r>
    </w:p>
    <w:p>
      <w:pPr/>
      <w:r>
        <w:rPr/>
        <w:t xml:space="preserve">    Convaincus de l’intérêt de tenter de proposer une définition de cette notion rencontrée de façon de plus en plus récurrente dans nos travaux sur la catégorisation des langues minoritaires, nous convînmes, au sein de notre équipe de projet du programme Typologie des langues minoritaires historiques en Europe (cf. supra) de tenter d’y répondre en procédant de façon pluridisciplinaire. Cela s’inscrivait dans la démarche de notre méthodologie générale qui incluait cette dimension. Cette activité du programme, qui concerne également d’autres notions de ce type (essentiellement centrées sur "minorité linguistique" et "langue propre"), a été menée en groupe. Ce dernier, rassemblant des approches en termes de sociolinguistique, de sémantique et de droit, s’est réuni à date régulière en 2015 et 2016 afin de sélectionner, tester et valider des traits spécifiques et des propriétés estimés être pertinents en vue de cette définition. Notre rôle de coordinateurs et de rédacteurs a ainsi pu s’appuyer sur les échanges, les apports et les précisions attendus de ce fonctionnement. Nous avons également tenu compte de données contextuelles notamment historiques, culturelles et politiques. En liaison avec cela, la notion de "langue régionale", importante dans ces approches macrosociolinguistiques, au même titre que d’autres de sa classe, telles que celles de langue de minorité nationale ou de langue propre, comme elle hyponymes de celle de langue minoritaire, fait d’emblée appel à des faits de société et, partant, au droit naturellement enclin à l’utiliser à ses propres fins de catégorisation.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2024-05-16T17:23:40+02:00</dcterms:created>
  <dcterms:modified xsi:type="dcterms:W3CDTF">2024-05-16T17:23:40+02:00</dcterms:modified>
</cp:coreProperties>
</file>

<file path=docProps/custom.xml><?xml version="1.0" encoding="utf-8"?>
<Properties xmlns="http://schemas.openxmlformats.org/officeDocument/2006/custom-properties" xmlns:vt="http://schemas.openxmlformats.org/officeDocument/2006/docPropsVTypes"/>
</file>