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N0656</w:t>
      </w:r>
    </w:p>
    <w:p>
      <w:pPr/>
      <w:r>
        <w:rPr>
          <w:sz w:val="24"/>
          <w:szCs w:val="24"/>
          <w:b w:val="1"/>
          <w:bCs w:val="1"/>
        </w:rPr>
        <w:t xml:space="preserve">Notion originale: langue non dominante</w:t>
      </w:r>
    </w:p>
    <w:p>
      <w:pPr/>
      <w:r>
        <w:rPr>
          <w:sz w:val="24"/>
          <w:szCs w:val="24"/>
          <w:b w:val="1"/>
          <w:bCs w:val="1"/>
        </w:rPr>
        <w:t xml:space="preserve">Notion traduite: langue non dominante</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E2859, p. 101</w:t>
      </w:r>
    </w:p>
    <w:p>
      <w:pPr/>
      <w:r>
        <w:rPr/>
        <w:t xml:space="preserve">    Au-delà de la "reconnaissance d’existence" des langues, qui est un minimum, peut-on définir un objectif de satisfaction général et de principe dans les rapports linguistiques des citoyens avec l’État ? Il semble, en tout cas, qu’à l’intérieur d’un même cadre étatique, si les uns et les autres ont en commun un idéal monolingue, tant les "majoritaires" que les "minoritaires", les positions sont inconciliables, et que seul le rapport de forces règle les choix. La négociation ne s’ouvre que sur la base de la reconnaissance que la situation n’est pas monolingue.
En bref, une bonne partie du problème tient à la faiblesse de reconnaissance du plurilinguisme, généralement sentie comme marque de mépris des langues non dominantes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2025-06-29T21:17:29+02:00</dcterms:created>
  <dcterms:modified xsi:type="dcterms:W3CDTF">2025-06-29T21:17:29+02:00</dcterms:modified>
</cp:coreProperties>
</file>

<file path=docProps/custom.xml><?xml version="1.0" encoding="utf-8"?>
<Properties xmlns="http://schemas.openxmlformats.org/officeDocument/2006/custom-properties" xmlns:vt="http://schemas.openxmlformats.org/officeDocument/2006/docPropsVTypes"/>
</file>