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N0646</w:t>
      </w:r>
    </w:p>
    <w:p>
      <w:pPr/>
      <w:r>
        <w:rPr>
          <w:sz w:val="24"/>
          <w:szCs w:val="24"/>
          <w:b w:val="1"/>
          <w:bCs w:val="1"/>
        </w:rPr>
        <w:t xml:space="preserve">Notion originale: minorité linguistique autochtone</w:t>
      </w:r>
    </w:p>
    <w:p>
      <w:pPr/>
      <w:r>
        <w:rPr>
          <w:sz w:val="24"/>
          <w:szCs w:val="24"/>
          <w:b w:val="1"/>
          <w:bCs w:val="1"/>
        </w:rPr>
        <w:t xml:space="preserve">Notion traduite: minorité linguistique autochtone</w:t>
      </w:r>
    </w:p>
    <w:p>
      <w:pPr/>
      <w:r>
        <w:rPr/>
        <w:t xml:space="preserve">
</w:t>
      </w:r>
    </w:p>
    <w:p>
      <w:pPr/>
      <w:r>
        <w:rPr>
          <w:b w:val="1"/>
          <w:bCs w:val="1"/>
        </w:rPr>
        <w:t xml:space="preserve">Document: D080</w:t>
      </w:r>
    </w:p>
    <w:p>
      <w:pPr/>
      <w:r>
        <w:rPr/>
        <w:t xml:space="preserve">Titre: L'appréhension juridique du territoire linguistique au regard de la Charte européenne des langues régionales ou minoritaires</w:t>
      </w:r>
    </w:p>
    <w:p>
      <w:pPr/>
      <w:r>
        <w:rPr/>
        <w:t xml:space="preserve">Type: linguistique - article de périodique</w:t>
      </w:r>
    </w:p>
    <w:p>
      <w:pPr/>
      <w:r>
        <w:rPr/>
        <w:t xml:space="preserve">Langue: français</w:t>
      </w:r>
    </w:p>
    <w:p>
      <w:pPr/>
      <w:r>
        <w:rPr/>
        <w:t xml:space="preserve">Auteur: ARLETTAZ, Jordane</w:t>
      </w:r>
    </w:p>
    <w:p>
      <w:pPr/>
      <w:r>
        <w:rPr/>
        <w:t xml:space="preserve">In : Lengas, revue de sociolinguistique, n°59, 2006, pp. 21-36</w:t>
      </w:r>
    </w:p>
    <w:p>
      <w:pPr/>
      <w:r>
        <w:rPr/>
        <w:t xml:space="preserve">
</w:t>
      </w:r>
    </w:p>
    <w:p>
      <w:pPr/>
      <w:r>
        <w:rPr/>
        <w:t xml:space="preserve">Extrait E0261, p. 30</w:t>
      </w:r>
    </w:p>
    <w:p>
      <w:pPr/>
      <w:r>
        <w:rPr/>
        <w:t xml:space="preserve">    Il est vrai que la Confédération helvétique est née d'un regroupement de cantons souverains ; ce faisant, les frontières cantonales – entités juridiques – ne se regroupent pas nécessairement avec les frontières linguistiques – réalités sociologiques. C'est pourquoi le tribunal fédéral a pu déduire de l'ancien article 116 relatif aux langues nationales de la Suisse, la protection de la répartition traditionnelle des langues du pays, obligeant ainsi les cantons à respecter le principe de territorialité. Aujourd'hui l'alinéa 2 de l'article 70 prévoit explicitement que les cantons "veillent à la répartition territoriale traditionnelle des langues et prennent en considération les minorités linguistiques autochtones". Les cantons restent donc souverains en ce qui concerne la détermination de leur(s) langue(s) officielle(s).</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2024-05-16T16:21:51+02:00</dcterms:created>
  <dcterms:modified xsi:type="dcterms:W3CDTF">2024-05-16T16:21:51+02:00</dcterms:modified>
</cp:coreProperties>
</file>

<file path=docProps/custom.xml><?xml version="1.0" encoding="utf-8"?>
<Properties xmlns="http://schemas.openxmlformats.org/officeDocument/2006/custom-properties" xmlns:vt="http://schemas.openxmlformats.org/officeDocument/2006/docPropsVTypes"/>
</file>