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standalone="yes"?>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w:body><w:p><w:pPr/><w:r><w:rPr><w:sz w:val="24"/><w:szCs w:val="24"/><w:b w:val="1"/><w:bCs w:val="1"/></w:rPr><w:t xml:space="preserve">Notion: N0645</w:t></w:r></w:p><w:p><w:pPr/><w:r><w:rPr><w:sz w:val="24"/><w:szCs w:val="24"/><w:b w:val="1"/><w:bCs w:val="1"/></w:rPr><w:t xml:space="preserve">Notion originale: minorité ethnolinguistique historique</w:t></w:r></w:p><w:p><w:pPr/><w:r><w:rPr><w:sz w:val="24"/><w:szCs w:val="24"/><w:b w:val="1"/><w:bCs w:val="1"/></w:rPr><w:t xml:space="preserve">Notion traduite: minorité ethnolinguistique historique</w:t></w:r></w:p><w:p><w:pPr/><w:r><w:rPr/><w:t xml:space="preserve">

</w:t></w:r></w:p><w:p><w:pPr/><w:r><w:rPr><w:b w:val="1"/><w:bCs w:val="1"/></w:rPr><w:t xml:space="preserve">Document: D551</w:t></w:r></w:p><w:p><w:pPr/><w:r><w:rPr/><w:t xml:space="preserve">Titre: La représentation politique des minorités linguistiques</w:t></w:r></w:p><w:p><w:pPr/><w:r><w:rPr/><w:t xml:space="preserve">Type: linguistique - article de périodique</w:t></w:r></w:p><w:p><w:pPr/><w:r><w:rPr/><w:t xml:space="preserve">Langue: français</w:t></w:r></w:p><w:p><w:pPr/><w:r><w:rPr/><w:t xml:space="preserve">Auteur: SANDRI, Giulia</w:t></w:r></w:p><w:p><w:pPr/><w:r><w:rPr/><w:t xml:space="preserve">Auteur: PALA, Carlo</w:t></w:r></w:p><w:p><w:pPr/><w:r><w:rPr/><w:t xml:space="preserve">In : Cultures & Conflits, n°79-80, 2010, pp. 97-122</w:t></w:r></w:p><w:p><w:pPr/><w:r><w:rPr/><w:t xml:space="preserve">

</w:t></w:r></w:p><w:p><w:pPr/><w:r><w:rPr/><w:t xml:space="preserve">Extrait E2814, p. 100</w:t></w:r></w:p><w:p><w:pPr/><w:r><w:rPr/><w:t xml:space="preserve">    Des évolutions ultérieures dans le sens du pôle multilingue et d’une véritable mise en question de l’idéologie monolingue semblent être réservées aux États nations avec des minorités linguistiques territoriales (la Belgique, l’Espagne, le Canada, la Suisse). Sans nécessairement aboutir au multilinguisme total (cf. supra), ils combinent souvent le monolinguisme territorial et la non traduction sur le plan institutionnel local avec le multilinguisme institutionnel et la traduction multidirectionnelle obligatoire au palier supérieur (fédéral par exemple).</w:t></w:r></w:p><w:p><w:pPr/><w:r><w:rPr/><w:t xml:space="preserve">
</w:t></w:r></w:p><w:p><w:pPr/><w:r><w:rPr/><w:t xml:space="preserve">
</w:t></w:r></w:p><w:sectPr><w:pgSz w:orient="portrait" w:w="11905.511811023622" w:h="16837.79527559055"/><w:pgMar w:top="1440" w:right="1440" w:bottom="1440" w:left="1440" w:header="720" w:footer="720" w:gutter="0"/><w:cols w:num="1" w:space="720"/></w:sectPr></w:body></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2025-05-08T22:35:31+02:00</dcterms:created>
  <dcterms:modified xsi:type="dcterms:W3CDTF">2025-05-08T22:35:31+02:00</dcterms:modified>
</cp:coreProperties>
</file>

<file path=docProps/custom.xml><?xml version="1.0" encoding="utf-8"?>
<Properties xmlns="http://schemas.openxmlformats.org/officeDocument/2006/custom-properties" xmlns:vt="http://schemas.openxmlformats.org/officeDocument/2006/docPropsVTypes"/>
</file>