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N0639</w:t>
      </w:r>
    </w:p>
    <w:p>
      <w:pPr/>
      <w:r>
        <w:rPr>
          <w:sz w:val="24"/>
          <w:szCs w:val="24"/>
          <w:b w:val="1"/>
          <w:bCs w:val="1"/>
        </w:rPr>
        <w:t xml:space="preserve">Notion originale: minorité linguistique immigrante</w:t>
      </w:r>
    </w:p>
    <w:p>
      <w:pPr/>
      <w:r>
        <w:rPr>
          <w:sz w:val="24"/>
          <w:szCs w:val="24"/>
          <w:b w:val="1"/>
          <w:bCs w:val="1"/>
        </w:rPr>
        <w:t xml:space="preserve">Notion traduite: minorité linguistique immigrante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E2809, p. 21</w:t>
      </w:r>
    </w:p>
    <w:p>
      <w:pPr/>
      <w:r>
        <w:rPr/>
        <w:t xml:space="preserve">    II n'y a pas grand chose à dire sur la politique linguistique à l'égard des minorités linguistiques immigrantes officiellement non reconnues: il n'y a ni réglementations légales qui garantissent les droits linguistiques (par exemple devant les fonctionnaires et l'administration etc.) ni un encouragement digne de ce nom en pratique de la politique linguistique de l'identité linguistique et culturelle des minorités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