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N0638</w:t>
      </w:r>
    </w:p>
    <w:p>
      <w:pPr/>
      <w:r>
        <w:rPr>
          <w:sz w:val="24"/>
          <w:szCs w:val="24"/>
          <w:b w:val="1"/>
          <w:bCs w:val="1"/>
        </w:rPr>
        <w:t xml:space="preserve">Notion originale: minorité linguistique nationale</w:t>
      </w:r>
    </w:p>
    <w:p>
      <w:pPr/>
      <w:r>
        <w:rPr>
          <w:sz w:val="24"/>
          <w:szCs w:val="24"/>
          <w:b w:val="1"/>
          <w:bCs w:val="1"/>
        </w:rPr>
        <w:t xml:space="preserve">Notion traduite: minorité linguistique nationale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p>
      <w:pPr/>
      <w:r>
        <w:rPr>
          <w:b w:val="1"/>
          <w:bCs w:val="1"/>
        </w:rPr>
        <w:t xml:space="preserve">Document: D546</w:t>
      </w:r>
    </w:p>
    <w:p>
      <w:pPr/>
      <w:r>
        <w:rPr/>
        <w:t xml:space="preserve">Titre: La mosaïque suisse : les représentations de la territorialité et du plurilinguisme dans les cantons bilingues</w:t>
      </w:r>
    </w:p>
    <w:p>
      <w:pPr/>
      <w:r>
        <w:rPr/>
        <w:t xml:space="preserve">Type: linguistique - article de périodique</w:t>
      </w:r>
    </w:p>
    <w:p>
      <w:pPr/>
      <w:r>
        <w:rPr/>
        <w:t xml:space="preserve">Langue: français</w:t>
      </w:r>
    </w:p>
    <w:p>
      <w:pPr/>
      <w:r>
        <w:rPr/>
        <w:t xml:space="preserve">Auteur: MEUNE, Manuel</w:t>
      </w:r>
    </w:p>
    <w:p>
      <w:pPr/>
      <w:r>
        <w:rPr/>
        <w:t xml:space="preserve">In : Politique et Sociétés, n°291, 2010, pp. 115-143</w:t>
      </w:r>
    </w:p>
    <w:p>
      <w:pPr/>
      <w:r>
        <w:rPr/>
        <w:t xml:space="preserve">
</w:t>
      </w:r>
    </w:p>
    <w:p>
      <w:pPr/>
      <w:r>
        <w:rPr/>
        <w:t xml:space="preserve">Extrait E2807, p. 141-142</w:t>
      </w:r>
    </w:p>
    <w:p>
      <w:pPr/>
      <w:r>
        <w:rPr/>
        <w:t xml:space="preserve">    À la question "En matière linguistique, que souhaiteriez-vous pour que  la réalité corresponde à votre "Suisse idéale" ?", les répondants des deux langues souhaitent d’abord un meilleur enseignement des langues. Les germanophones insistent plus sur l’anglais, mais sans adopter le "modèle zurichois" d’enseignement de l’anglais avant l’autre langue nationale, restant ainsi proches du modèle confédéral choisi par les cantons francophones – que le réalisme économique et politique incite à ne pas délaisser l’allemand. Les deux groupes évoquent en termes semblables le respect des minorités linguistiques nationales – et du romanche qui en est l’icône –, mais, concernant le dialecte alémanique, les germanophones souhaitent d’abord le dépassement de son image négative tandis que les francophones plaident davantage pour la limitation de son emprise.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2025-07-07T02:45:48+02:00</dcterms:created>
  <dcterms:modified xsi:type="dcterms:W3CDTF">2025-07-07T02:45:48+02:00</dcterms:modified>
</cp:coreProperties>
</file>

<file path=docProps/custom.xml><?xml version="1.0" encoding="utf-8"?>
<Properties xmlns="http://schemas.openxmlformats.org/officeDocument/2006/custom-properties" xmlns:vt="http://schemas.openxmlformats.org/officeDocument/2006/docPropsVTypes"/>
</file>