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N0637</w:t>
      </w:r>
    </w:p>
    <w:p>
      <w:pPr/>
      <w:r>
        <w:rPr>
          <w:sz w:val="24"/>
          <w:szCs w:val="24"/>
          <w:b w:val="1"/>
          <w:bCs w:val="1"/>
        </w:rPr>
        <w:t xml:space="preserve">Notion originale: minorité linguistique régionale</w:t>
      </w:r>
    </w:p>
    <w:p>
      <w:pPr/>
      <w:r>
        <w:rPr>
          <w:sz w:val="24"/>
          <w:szCs w:val="24"/>
          <w:b w:val="1"/>
          <w:bCs w:val="1"/>
        </w:rPr>
        <w:t xml:space="preserve">Notion traduite: minorité linguistique régionale</w:t>
      </w:r>
    </w:p>
    <w:p>
      <w:pPr/>
      <w:r>
        <w:rPr/>
        <w:t xml:space="preserve">
</w:t>
      </w:r>
    </w:p>
    <w:p>
      <w:pPr/>
      <w:r>
        <w:rPr>
          <w:b w:val="1"/>
          <w:bCs w:val="1"/>
        </w:rPr>
        <w:t xml:space="preserve">Document: D547</w:t>
      </w:r>
    </w:p>
    <w:p>
      <w:pPr/>
      <w:r>
        <w:rPr/>
        <w:t xml:space="preserve">Titre: "Imaste griki ke milume grika" : Marketing territorial et constructions identitaires dans la grecia salentine</w:t>
      </w:r>
    </w:p>
    <w:p>
      <w:pPr/>
      <w:r>
        <w:rPr/>
        <w:t xml:space="preserve">Type: linguistique - article d'ouvrage collectif</w:t>
      </w:r>
    </w:p>
    <w:p>
      <w:pPr/>
      <w:r>
        <w:rPr/>
        <w:t xml:space="preserve">Langue: français</w:t>
      </w:r>
    </w:p>
    <w:p>
      <w:pPr/>
      <w:r>
        <w:rPr/>
        <w:t xml:space="preserve">Auteur: CAROLI, Elina</w:t>
      </w:r>
    </w:p>
    <w:p>
      <w:pPr/>
      <w:r>
        <w:rPr/>
        <w:t xml:space="preserve">In :Langues à l’encan. Essai sur la capitalisation linguistique en EuropeDirigé par: CANUT, Cécile / BODOUROVA, Diiana / CAROLI, Elina</w:t>
      </w:r>
    </w:p>
    <w:p>
      <w:pPr/>
      <w:r>
        <w:rPr/>
        <w:t xml:space="preserve">Ed. : édition Michel Houdiard, Paris, pp. 24-79</w:t>
      </w:r>
    </w:p>
    <w:p>
      <w:pPr/>
      <w:r>
        <w:rPr/>
        <w:t xml:space="preserve">
</w:t>
      </w:r>
    </w:p>
    <w:p>
      <w:pPr/>
      <w:r>
        <w:rPr/>
        <w:t xml:space="preserve">Extrait E2808, p. 53</w:t>
      </w:r>
    </w:p>
    <w:p>
      <w:pPr/>
      <w:r>
        <w:rPr/>
        <w:t xml:space="preserve">    À la fin des années 1990, deux événements majeurs ont influencé le renouveau et la croissance d’intérêt pour le griko, traduit, entre autres, par une intense activité éditoriale. Tout d’abord, en 1999, les hellénophones de l’Italie du Sud, c’est-à-dire les populations de la Grecìa aussi bien que celles de la Bovesia (en province de Reggio Calabre), ont été incluses parmi les douze minorités linguistiques historiques que l’État italien a décidé de protéger par le biais de la loi 482 du 15 décembre. Le dialecte d’autrefois, ou plutôt le sociolecte, représentant une classe paysanne censée être pauvre et ignorante, est devenu une langue minoritaire soutenue politiquement et économiquement par l’État, à la manière par exemple de l’allemand des riches communautés de la province autonome de Bolzano, dans la région à statut spécial du Trentin-Haut-Adige.</w:t>
      </w:r>
    </w:p>
    <w:p>
      <w:pPr/>
      <w:r>
        <w:rPr/>
        <w:t xml:space="preserve">
</w:t>
      </w:r>
    </w:p>
    <w:p>
      <w:pPr/>
      <w:r>
        <w:rPr/>
        <w:t xml:space="preserve">
</w:t>
      </w:r>
    </w:p>
    <w:p>
      <w:pPr/>
      <w:r>
        <w:rPr>
          <w:b w:val="1"/>
          <w:bCs w:val="1"/>
        </w:rPr>
        <w:t xml:space="preserve">Document: D544</w:t>
      </w:r>
    </w:p>
    <w:p>
      <w:pPr/>
      <w:r>
        <w:rPr/>
        <w:t xml:space="preserve">Titre: Vitalité communautaire, autonomie culturelle et bien-être des minorités linguistiques</w:t>
      </w:r>
    </w:p>
    <w:p>
      <w:pPr/>
      <w:r>
        <w:rPr/>
        <w:t xml:space="preserve">Type: linguistique - article d'ouvrage collectif</w:t>
      </w:r>
    </w:p>
    <w:p>
      <w:pPr/>
      <w:r>
        <w:rPr/>
        <w:t xml:space="preserve">Langue: français</w:t>
      </w:r>
    </w:p>
    <w:p>
      <w:pPr/>
      <w:r>
        <w:rPr/>
        <w:t xml:space="preserve">Auteur: LANDRY, Rodrigue</w:t>
      </w:r>
    </w:p>
    <w:p>
      <w:pPr/>
      <w:r>
        <w:rPr/>
        <w:t xml:space="preserve">Auteur: BOURHIS, Richard Y.</w:t>
      </w:r>
    </w:p>
    <w:p>
      <w:pPr/>
      <w:r>
        <w:rPr/>
        <w:t xml:space="preserve">In :Déclin et enjeux des communautés de langue anglaise du QuébecDirigé par: BOURHIS, Richard Y.</w:t>
      </w:r>
    </w:p>
    <w:p>
      <w:pPr/>
      <w:r>
        <w:rPr/>
        <w:t xml:space="preserve">Ed. : Patrimoine canadien, Institut canadien de recherche sur les minorités linguistiques (ICRML), Ottawa, pp. 23-73</w:t>
      </w:r>
    </w:p>
    <w:p>
      <w:pPr/>
      <w:r>
        <w:rPr/>
        <w:t xml:space="preserve">
</w:t>
      </w:r>
    </w:p>
    <w:p>
      <w:pPr/>
      <w:r>
        <w:rPr/>
        <w:t xml:space="preserve">Extrait E2805, p. 55</w:t>
      </w:r>
    </w:p>
    <w:p>
      <w:pPr/>
      <w:r>
        <w:rPr/>
        <w:t xml:space="preserve">    En outre, comme c’est le cas en France, une majorité linguistique dominante peut fabriquer des mythes fondateurs pour légitimer l’assimilation linguistique de ses minorités linguistiques régionales en prétextant que seul le génie de la langue et de la culture dominante (le français) peut exprimer les valeurs d’égalité, de liberté et de modernité (Citron, 1987). La politique assimilatrice officielle unilingue imposée durant deux siècles par l’État français dans le système scolaire, la fonction publique, l’armée et les médias a contribué à la rupture intergénérationnelle de la transmission des langues régionales telles que l’alsacien, le basque, le breton, le catalan et l’occitan (Lodge, 1993 ; Bourhis, 1997). Bien que l’enseignement des langues régionales se pratique dans une certaine mesure grâce à la mobilisation soutenue des minorités linguistiques régionales, la politique actuelle du gouvernement français consistant à miner lentement mais sûrement la vitalité de ces minorités a réussi à les maintenir dans une "situation critique".</w:t>
      </w:r>
    </w:p>
    <w:p>
      <w:pPr/>
      <w:r>
        <w:rPr/>
        <w:t xml:space="preserve">
</w:t>
      </w:r>
    </w:p>
    <w:p>
      <w:pPr/>
      <w:r>
        <w:rPr/>
        <w:t xml:space="preserve">
</w:t>
      </w:r>
    </w:p>
    <w:p>
      <w:pPr/>
      <w:r>
        <w:rPr>
          <w:b w:val="1"/>
          <w:bCs w:val="1"/>
        </w:rPr>
        <w:t xml:space="preserve">Document: D545</w:t>
      </w:r>
    </w:p>
    <w:p>
      <w:pPr/>
      <w:r>
        <w:rPr/>
        <w:t xml:space="preserve">Titre: Le statut juridique des communautés anglophones du Québec : options et recommandations</w:t>
      </w:r>
    </w:p>
    <w:p>
      <w:pPr/>
      <w:r>
        <w:rPr/>
        <w:t xml:space="preserve">Type: linguistique - article d'ouvrage collectif</w:t>
      </w:r>
    </w:p>
    <w:p>
      <w:pPr/>
      <w:r>
        <w:rPr/>
        <w:t xml:space="preserve">Langue: français</w:t>
      </w:r>
    </w:p>
    <w:p>
      <w:pPr/>
      <w:r>
        <w:rPr/>
        <w:t xml:space="preserve">Auteur: FOUCHER, Pierre</w:t>
      </w:r>
    </w:p>
    <w:p>
      <w:pPr/>
      <w:r>
        <w:rPr/>
        <w:t xml:space="preserve">In :Déclin et enjeux des communautés de langue anglaise du QuébecDirigé par: BOURHIS, Richard Y.</w:t>
      </w:r>
    </w:p>
    <w:p>
      <w:pPr/>
      <w:r>
        <w:rPr/>
        <w:t xml:space="preserve">Ed. : Patrimoine canadien, Institut canadien de recherche sur les minorités linguistiques (ICRML), Ottawa, pp. 75-106</w:t>
      </w:r>
    </w:p>
    <w:p>
      <w:pPr/>
      <w:r>
        <w:rPr/>
        <w:t xml:space="preserve">
</w:t>
      </w:r>
    </w:p>
    <w:p>
      <w:pPr/>
      <w:r>
        <w:rPr/>
        <w:t xml:space="preserve">Extrait E2806, p. 98</w:t>
      </w:r>
    </w:p>
    <w:p>
      <w:pPr/>
      <w:r>
        <w:rPr/>
        <w:t xml:space="preserve">    Conformément au régime fédéral sous lequel nous vivons, les circonscriptions électorales doivent tenir compte, parmi d’autres critères, du tissu linguistique de la région en cause. Cette règle n’est pas, cependant, consacrée par la Constitution, même si elle découle implicitement du principe constitutionnel non écrit de protection des minorités linguistiques régionales. La Cour fédérale a ainsi annulé la carte électorale fédérale du Nouveau-Brunswick, pour non respect de cette règle (jugement Raîche). C’est dire que toute réforme de la représentation nationale au sein de la Chambre des communes du Canada devra prendre en compte, dans les différentes régions du Québec, les données démographiques concernant les communautés anglophones.</w:t>
      </w:r>
    </w:p>
    <w:p>
      <w:pPr/>
      <w:r>
        <w:rPr/>
        <w:t xml:space="preserve">
</w:t>
      </w:r>
    </w:p>
    <w:p>
      <w:pPr/>
      <w:r>
        <w:rPr/>
        <w:t xml:space="preserve">
</w:t>
      </w:r>
    </w:p>
    <w:p>
      <w:pPr/>
      <w:r>
        <w:rPr>
          <w:b w:val="1"/>
          <w:bCs w:val="1"/>
        </w:rPr>
        <w:t xml:space="preserve">Document: D543</w:t>
      </w:r>
    </w:p>
    <w:p>
      <w:pPr/>
      <w:r>
        <w:rPr/>
        <w:t xml:space="preserve">Titre: Apport de l’immigration aux populations francophones hors Québec</w:t>
      </w:r>
    </w:p>
    <w:p>
      <w:pPr/>
      <w:r>
        <w:rPr/>
        <w:t xml:space="preserve">Type: linguistique - article de périodique</w:t>
      </w:r>
    </w:p>
    <w:p>
      <w:pPr/>
      <w:r>
        <w:rPr/>
        <w:t xml:space="preserve">Langue: français</w:t>
      </w:r>
    </w:p>
    <w:p>
      <w:pPr/>
      <w:r>
        <w:rPr/>
        <w:t xml:space="preserve">Auteur: CASTONGUAY, Charles</w:t>
      </w:r>
    </w:p>
    <w:p>
      <w:pPr/>
      <w:r>
        <w:rPr/>
        <w:t xml:space="preserve">In : Francophonies d'Amérique, n°26, 2008, pp. 235-247</w:t>
      </w:r>
    </w:p>
    <w:p>
      <w:pPr/>
      <w:r>
        <w:rPr/>
        <w:t xml:space="preserve">
</w:t>
      </w:r>
    </w:p>
    <w:p>
      <w:pPr/>
      <w:r>
        <w:rPr/>
        <w:t xml:space="preserve">Extrait E2804, p. 241</w:t>
      </w:r>
    </w:p>
    <w:p>
      <w:pPr/>
      <w:r>
        <w:rPr/>
        <w:t xml:space="preserve">    Pour les natifs d’une minorité linguistique régionale, on estime que le phénomène d’assimilation à la langue de la majorité se développe à l’adolescence, bat son plein durant la période de la vie où l’individu s’émancipe de son foyer d’origine et détermine son comportement comme adulte autonome, puis s’estompe graduellement pour n’exercer qu’une incidence négligeable au-delà de l’âge d’environ 40 ans. On doit cependant prolonger quelque peu ce calendrier lorsqu’il s’agit d’observer l’incidence complète de l’assimilation linguistique sur une population immigrante.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2025-06-08T15:45:55+02:00</dcterms:created>
  <dcterms:modified xsi:type="dcterms:W3CDTF">2025-06-08T15:45:55+02:00</dcterms:modified>
</cp:coreProperties>
</file>

<file path=docProps/custom.xml><?xml version="1.0" encoding="utf-8"?>
<Properties xmlns="http://schemas.openxmlformats.org/officeDocument/2006/custom-properties" xmlns:vt="http://schemas.openxmlformats.org/officeDocument/2006/docPropsVTypes"/>
</file>