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N0635</w:t>
      </w:r>
    </w:p>
    <w:p>
      <w:pPr/>
      <w:r>
        <w:rPr>
          <w:sz w:val="24"/>
          <w:szCs w:val="24"/>
          <w:b w:val="1"/>
          <w:bCs w:val="1"/>
        </w:rPr>
        <w:t xml:space="preserve">Notion originale: социальный и территориальный диалект</w:t>
      </w:r>
    </w:p>
    <w:p>
      <w:pPr/>
      <w:r>
        <w:rPr>
          <w:sz w:val="24"/>
          <w:szCs w:val="24"/>
          <w:b w:val="1"/>
          <w:bCs w:val="1"/>
        </w:rPr>
        <w:t xml:space="preserve">Notion translittere: socialʹnyj i territorialʹnyj dialekt</w:t>
      </w:r>
    </w:p>
    <w:p>
      <w:pPr/>
      <w:r>
        <w:rPr>
          <w:sz w:val="24"/>
          <w:szCs w:val="24"/>
          <w:b w:val="1"/>
          <w:bCs w:val="1"/>
        </w:rPr>
        <w:t xml:space="preserve">Notion traduite: dialecte social et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E0442, p. 89</w:t>
      </w:r>
    </w:p>
    <w:p>
      <w:pPr/>
      <w:r>
        <w:rPr/>
        <w:t xml:space="preserve">    Как социолингвистика так и прагматика используют данные стилистики, которая со своей стороны при описании систем стилистических функций принимает во внимание влияние элементов подъязыков (социальных и территориальных диалектов).</w:t>
      </w:r>
    </w:p>
    <w:p>
      <w:pPr/>
      <w:r>
        <w:rPr/>
        <w:t xml:space="preserve">    Comme la sociolinguistique, la pragmatique utilise les données de la stylistique, laquelle de sa part, en décrivant les systèmes des fonctions stylistiques prend en considération l'influence des éléments des variantes linguistiques (dialectes sociaux et 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