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N0625</w:t>
      </w:r>
    </w:p>
    <w:p>
      <w:pPr/>
      <w:r>
        <w:rPr>
          <w:sz w:val="24"/>
          <w:szCs w:val="24"/>
          <w:b w:val="1"/>
          <w:bCs w:val="1"/>
        </w:rPr>
        <w:t xml:space="preserve">Notion originale: modalidad lingüística</w:t>
      </w:r>
    </w:p>
    <w:p>
      <w:pPr/>
      <w:r>
        <w:rPr>
          <w:sz w:val="24"/>
          <w:szCs w:val="24"/>
          <w:b w:val="1"/>
          <w:bCs w:val="1"/>
        </w:rPr>
        <w:t xml:space="preserve">Notion traduite: modalité linguistique</w:t>
      </w:r>
    </w:p>
    <w:p>
      <w:pPr/>
      <w:r>
        <w:rPr/>
        <w:t xml:space="preserve">
Autre notion traduite avec le même therme: (espagnol) modalidad lingüítsica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E2969, p. 45-46</w:t>
      </w:r>
    </w:p>
    <w:p>
      <w:pPr/>
      <w:r>
        <w:rPr/>
        <w:t xml:space="preserve">    La ordenación que lleva a cabo el citado artículo, y que será el objeto de nuestro análisis, establece una triple previsión:
a) La consideración del castellano como la lengua oficial del Estado. (….)
b) El reconocimiento de la oficialidad de las demás lenguas españolas diferentes del castellano, de conformidad con las previsiones estatuarias. Según el apartado 2° [Constitución de 1978], "las demás lenguas españolas serán también oficiales en las respectivas Comunidades Autónomas de acuerdo con sus Estatutos".
c) El principio de protección y fomento del patrimonio lingüístico español. De conformidad con el apartado 3°, "la riqueza de las distintas modalidades lingüísticas de España es un patrimonio cultural que será objeto de especial respeto y protección".</w:t>
      </w:r>
    </w:p>
    <w:p>
      <w:pPr/>
      <w:r>
        <w:rPr/>
        <w:t xml:space="preserve">    Le classement proposé par l’article cité, et qui fera l'objet de notre analyse, établit une triple perspective :
a) La prise en considération du castillan comme la langue officielle d’État. (....)
b) La reconnaissance de l’officialité des autres langues d’Espagne différentes du castillan, en conformité avec les dispositions statutaires. Selon l’alinéa 2, "les autres langues d'Espagne sont aussi officielles dans les Communautés autonomes respectives, conformément à leurs statuts".
c) Le principe de la protection et de la promotion du patrimoine linguistique espagnol. Conformément à l’alinéa 3, "la richesse des différentes modalités linguistiques de l'Espagne est un patrimoine culturel qui fera l'objet d'un respect particulier et de protection".</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Extrait E2976, p. 59-60</w:t>
      </w:r>
    </w:p>
    <w:p>
      <w:pPr/>
      <w:r>
        <w:rPr/>
        <w:t xml:space="preserve">    Entendemos, junto a otro sector doctrinal, que el termino modalidades lingüísticas incluye a todas las lenguas españolas y, por tanto, también al castellano, con independencia de cuál sea su estatuto jurídico, esto es, de que sean o no oficiales.(…)
La fórmula constitucional habla de respeto y protección términos de los que es posible extraer consecuencias jurídicas. Por una parte, el respeto de las modalidades lingüísticas ha de entenderse como una garantía constitucional del uso de las mismas por los ciudadanos; es decir, del respeto cabe deducir que no se puede prohibir el uso de ese patrimonio cultural en ámbitos como los medios de comunicación; en actos y reuniones; en la toponimia o en la inscripción del nombre propio en el Registro Civil.</w:t>
      </w:r>
    </w:p>
    <w:p>
      <w:pPr/>
      <w:r>
        <w:rPr/>
        <w:t xml:space="preserve">    Nous comprenons, d'accord avec une autre partie de la doctrine, que le terme modalités linguistiques inclut toutes les langues espagnoles et, par conséquent, aussi le castillan, indépendamment de leur statut juridique, c'est-à-dire qu'elles soient officielles ou non. (...)
La formule constitutionnelle parle de respect et de protection, termes dont peuvent être tirées des conséquences juridiques. D'une part, le respect des modalités linguistiques doit se comprendre comme une garantie constitutionnelle de leur usage par les citoyens ; c’est-à-dire que l'on peut déduire du respect qu'il n’est pas possible d’interdire l'utilisation de ce patrimoine culturel dans les domaines comme ceux des médias, des célébrations et des réunions, de la toponymie ou de l’inscription du prénom dans le registre d'État civil.</w:t>
      </w:r>
    </w:p>
    <w:p>
      <w:pPr/>
      <w:r>
        <w:rPr/>
        <w:t xml:space="preserve">
</w:t>
      </w:r>
    </w:p>
    <w:p>
      <w:pPr/>
      <w:r>
        <w:rPr/>
        <w:t xml:space="preserve">Extrait E2995,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E2983, p. 167</w:t>
      </w:r>
    </w:p>
    <w:p>
      <w:pPr/>
      <w:r>
        <w:rPr/>
        <w:t xml:space="preserve">    En el caso de trato discriminatorio proyectado sobre derechos derivados de otras situaciones jurídicas diferentes de la oficialidad (como, por ejemplo, del régimen de determinadas modalidades lingüísticas - asturiano, catalán en Aragón – o los que se puedan desprender de la legislación internacional), habrá que atenerse a la aplicación no discriminatoria de los derechos establecidos por la normativa lingüística concreta (a los capítulos correspondientes nos remitimos).</w:t>
      </w:r>
    </w:p>
    <w:p>
      <w:pPr/>
      <w:r>
        <w:rPr/>
        <w:t xml:space="preserve">    Dans le cas d'un traitement discriminatoire envisagé à partir de droits dérivés d’autres situations juridiques différentes de celle de l’officialité (comme, par exemple, le régime de certaines modalités linguistiques – l’asturien, le catalan en Aragon - ou ceux qui pourraient découler du droit international), il n’y aura qu'à s'en tenir à l'application non discriminatoire des droits établis par les normes linguistiques concrètes (nous renvoyons aux chapitres correspondants).</w:t>
      </w:r>
    </w:p>
    <w:p>
      <w:pPr/>
      <w:r>
        <w:rPr/>
        <w:t xml:space="preserve">
</w:t>
      </w:r>
    </w:p>
    <w:p>
      <w:pPr/>
      <w:r>
        <w:rPr/>
        <w:t xml:space="preserve">Extrait E2984, p. 169</w:t>
      </w:r>
    </w:p>
    <w:p>
      <w:pPr/>
      <w:r>
        <w:rPr/>
        <w:t xml:space="preserve">    Estos son el bloque de derechos reconocidos por instrumentos internacionales (…) y todas las normativas internas del estado español que tienen una voluntad protectora de las lenguas no oficiales, o sea, de lo que el artículo 3.3 de la Constitución llama "modalidades lingüísticas".</w:t>
      </w:r>
    </w:p>
    <w:p>
      <w:pPr/>
      <w:r>
        <w:rPr/>
        <w:t xml:space="preserve">    Ce sont le bloc des droits reconnus par les instruments internationaux (...) et toutes les normes internes de l'État espagnol qui expriment une volonté de protéger les langues non officielles, ou de ce qui est nommé "modalités linguistiques" dans l'article 3.3 de la Constitution.</w:t>
      </w:r>
    </w:p>
    <w:p>
      <w:pPr/>
      <w:r>
        <w:rPr/>
        <w:t xml:space="preserve">
</w:t>
      </w:r>
    </w:p>
    <w:p>
      <w:pPr/>
      <w:r>
        <w:rPr/>
        <w:t xml:space="preserve">Extrait E2985, p. 169</w:t>
      </w:r>
    </w:p>
    <w:p>
      <w:pPr/>
      <w:r>
        <w:rPr/>
        <w:t xml:space="preserve">    En lo que concierne al estatus de modalidades lingüísticas, encontramos al Estado diversas situaciones, como por ejemplo el reconocimiento estatutario del aragonés y del catalán de la Franja, y el estatutario y legal del bable en Asturias. Con la reforma del Estatuto catalán, el occitano de la Val d’Aran tiene la condición de oficial en su territorio (art. 6.5 EAC).</w:t>
      </w:r>
    </w:p>
    <w:p>
      <w:pPr/>
      <w:r>
        <w:rPr/>
        <w:t xml:space="preserve">    En ce qui concerne le statut des modalités linguistiques, nous rencontrons diverses situations dans l'Etat, telles que, par exemple, la reconnaissance statutaire de l'aragonais et du catalan de la Franja, et celle statutaire et légale du bable dans les Asturies. Avec la réforme du Statut de la Catalogne, l'occitan du Val d'Aran a le statut de langue officielle sur son territoire (art. 6.5 EAC).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E2792, p. 217</w:t>
      </w:r>
    </w:p>
    <w:p>
      <w:pPr/>
      <w:r>
        <w:rPr/>
        <w:t xml:space="preserve">    En 1996 la DGA, en el marco de la Comisión Mixta Diputación General de Aragón -Ministerio de Educación y Cultura, publicó una convocatoria de selección de profesorado "de aragonés y sus modalidades lingüísticas".</w:t>
      </w:r>
    </w:p>
    <w:p>
      <w:pPr/>
      <w:r>
        <w:rPr/>
        <w:t xml:space="preserve">    En 1996, la DGA dans le cadre de la Commission Mixte du Conseil général d'Aragon - Ministère de l'Education et de la Culture, a publié un appel à concours pour le recrutement de professeurs "d’aragonais et de ses modalités linguistiques".</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