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N0616</w:t>
      </w:r>
    </w:p>
    <w:p>
      <w:pPr/>
      <w:r>
        <w:rPr>
          <w:sz w:val="24"/>
          <w:szCs w:val="24"/>
          <w:b w:val="1"/>
          <w:bCs w:val="1"/>
        </w:rPr>
        <w:t xml:space="preserve">Notion originale: minorité ethnolinguistique</w:t>
      </w:r>
    </w:p>
    <w:p>
      <w:pPr/>
      <w:r>
        <w:rPr>
          <w:sz w:val="24"/>
          <w:szCs w:val="24"/>
          <w:b w:val="1"/>
          <w:bCs w:val="1"/>
        </w:rPr>
        <w:t xml:space="preserve">Notion traduite: minorité ethnolinguistique</w:t>
      </w:r>
    </w:p>
    <w:p>
      <w:pPr/>
      <w:r>
        <w:rPr/>
        <w:t xml:space="preserve">
Autre notion traduite avec le même therme: (italien) minoranza etnolinguistica</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E2760, p. 38</w:t>
      </w:r>
    </w:p>
    <w:p>
      <w:pPr/>
      <w:r>
        <w:rPr/>
        <w:t xml:space="preserve">     (...) comment douter que certains ouvrages-clés, brûlots raisonnés de la décolonisation, aient été lus avec le plus grand intérêt dans l'optique régionaliste (voire nationaliste ou indépendantiste) par les leaders des minorités ethnolinguistiques de la France qui les mettaient en débat public ? Selon eux, le processus historique lent de constitution de la France métropolitaine aurait connu dans l'empire colonial des formes de domination similaires, mais dotées d'une accélération spectaculaire et d'un aboutissement encore en devenir dans l'Hexagone.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2025-04-26T14:24:04+02:00</dcterms:created>
  <dcterms:modified xsi:type="dcterms:W3CDTF">2025-04-26T14:24:04+02:00</dcterms:modified>
</cp:coreProperties>
</file>

<file path=docProps/custom.xml><?xml version="1.0" encoding="utf-8"?>
<Properties xmlns="http://schemas.openxmlformats.org/officeDocument/2006/custom-properties" xmlns:vt="http://schemas.openxmlformats.org/officeDocument/2006/docPropsVTypes"/>
</file>