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N0615</w:t>
      </w:r>
    </w:p>
    <w:p>
      <w:pPr/>
      <w:r>
        <w:rPr>
          <w:sz w:val="24"/>
          <w:szCs w:val="24"/>
          <w:b w:val="1"/>
          <w:bCs w:val="1"/>
        </w:rPr>
        <w:t xml:space="preserve">Notion originale: langue allochtone</w:t>
      </w:r>
    </w:p>
    <w:p>
      <w:pPr/>
      <w:r>
        <w:rPr>
          <w:sz w:val="24"/>
          <w:szCs w:val="24"/>
          <w:b w:val="1"/>
          <w:bCs w:val="1"/>
        </w:rPr>
        <w:t xml:space="preserve">Notion traduite: langue allochtone</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E2750, p. 34</w:t>
      </w:r>
    </w:p>
    <w:p>
      <w:pPr/>
      <w:r>
        <w:rPr/>
        <w:t xml:space="preserve">    Après la guerre et à l’instar des écrivains modernes, les journalistes et d’autres intellectuels ont commencé à employer de plus en plus les langages régionaux et à accepter l’idiosyncrasie linguistique au Brésil. Mais la sympathie des intellectuels n’a jamais assuré la survie des langues autochtones et allochtones.
Les minorités linguistiques (autochtones et allochtones) ont dû mettre sur pied d’innombrables stratégies pour assimiler la langue officielle, dissimuler leurs "marques diacritiques" lors d’une conversation en portugais et maintenir leur langue maternelle "vivante" ou alors la revitaliser après qu’elle soit restée figée dans la mémoire des générations précédentes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2025-08-18T14:37:23+02:00</dcterms:created>
  <dcterms:modified xsi:type="dcterms:W3CDTF">2025-08-18T14:37:23+02:00</dcterms:modified>
</cp:coreProperties>
</file>

<file path=docProps/custom.xml><?xml version="1.0" encoding="utf-8"?>
<Properties xmlns="http://schemas.openxmlformats.org/officeDocument/2006/custom-properties" xmlns:vt="http://schemas.openxmlformats.org/officeDocument/2006/docPropsVTypes"/>
</file>