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N0606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etnico-linguistica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ethnico-linguistique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D513</w:t>
      </w:r>
    </w:p>
    <w:p>
      <w:pPr/>
      <w:r>
        <w:rPr/>
        <w:t xml:space="preserve">Titre: Il pluralismo linguistico tra Stato nazionale e autonomie regionali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PIZZORUSSO, Alessandro</w:t>
      </w:r>
    </w:p>
    <w:p>
      <w:pPr/>
      <w:r>
        <w:rPr/>
        <w:t xml:space="preserve">Ed. :Pacini editore, Pisa, 2008, 286p. </w:t>
      </w:r>
    </w:p>
    <w:p>
      <w:pPr/>
      <w:r>
        <w:rPr/>
        <w:t xml:space="preserve">
</w:t>
      </w:r>
    </w:p>
    <w:p>
      <w:pPr/>
      <w:r>
        <w:rPr/>
        <w:t xml:space="preserve">Extrait E2707, p. 19</w:t>
      </w:r>
    </w:p>
    <w:p>
      <w:pPr/>
      <w:r>
        <w:rPr/>
        <w:t xml:space="preserve">    Il problema delle minoranze etnico-linguistiche presenti all’interno dello Stato italiano fu regolato esclusivamente in base alle scelte dei suoi governanti e del legislatore nazionale.</w:t>
      </w:r>
    </w:p>
    <w:p>
      <w:pPr/>
      <w:r>
        <w:rPr/>
        <w:t xml:space="preserve">    Le problème des minorités ethnico-linguistiques présentes à l’intérieur de l’Etat italien a été exclusivement réglé en fonction des choix de ceux qui les gèrent et du législateur national.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2025-06-08T15:51:38+02:00</dcterms:created>
  <dcterms:modified xsi:type="dcterms:W3CDTF">2025-06-08T15:51:38+02:00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