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N0597</w:t>
      </w:r>
    </w:p>
    <w:p>
      <w:pPr/>
      <w:r>
        <w:rPr>
          <w:sz w:val="24"/>
          <w:szCs w:val="24"/>
          <w:b w:val="1"/>
          <w:bCs w:val="1"/>
        </w:rPr>
        <w:t xml:space="preserve">Notion originale: lingua coufficiale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(basque) hizkuntza koofizial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E2688, p. 115</w:t>
      </w:r>
    </w:p>
    <w:p>
      <w:pPr/>
      <w:r>
        <w:rPr/>
        <w:t xml:space="preserve">    (…) i dialetti cosiddetti franco-provenzali, come quelli tirolesi e quelli sloveni, vivono storicamente in un rapporto di diglossia col francese loro lingua tetto tradizionale, e oggi di macrodiglossia rispetto all’italiano e alla lingua coufficiale.</w:t>
      </w:r>
    </w:p>
    <w:p>
      <w:pPr/>
      <w:r>
        <w:rPr/>
        <w:t xml:space="preserve">    (...) les dialectes soi disant franco-provençaux, comme les tyroliens ou slovènes, vivent historiquement dans un rapport de diglossie avec le français, leur langue toit traditionnelle, et aujourd’hui de macrodiglossie par rapport à l’italien et à la langue co-officielle.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2025-08-18T18:54:54+02:00</dcterms:created>
  <dcterms:modified xsi:type="dcterms:W3CDTF">2025-08-18T18:54:54+02:00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