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N0595</w:t>
      </w:r>
    </w:p>
    <w:p>
      <w:pPr/>
      <w:r>
        <w:rPr>
          <w:sz w:val="24"/>
          <w:szCs w:val="24"/>
          <w:b w:val="1"/>
          <w:bCs w:val="1"/>
        </w:rPr>
        <w:t xml:space="preserve">Notion originale: variétà sopralocale</w:t>
      </w:r>
    </w:p>
    <w:p>
      <w:pPr/>
      <w:r>
        <w:rPr>
          <w:sz w:val="24"/>
          <w:szCs w:val="24"/>
          <w:b w:val="1"/>
          <w:bCs w:val="1"/>
        </w:rPr>
        <w:t xml:space="preserve">Notion traduite: variété supralocale</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