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N0590</w:t>
      </w:r>
    </w:p>
    <w:p>
      <w:pPr/>
      <w:r>
        <w:rPr>
          <w:sz w:val="24"/>
          <w:szCs w:val="24"/>
          <w:b w:val="1"/>
          <w:bCs w:val="1"/>
        </w:rPr>
        <w:t xml:space="preserve">Notion originale: общий литературный язык</w:t>
      </w:r>
    </w:p>
    <w:p>
      <w:pPr/>
      <w:r>
        <w:rPr>
          <w:sz w:val="24"/>
          <w:szCs w:val="24"/>
          <w:b w:val="1"/>
          <w:bCs w:val="1"/>
        </w:rPr>
        <w:t xml:space="preserve">Notion translittere: obŝij literaturnyj âzyk</w:t>
      </w:r>
    </w:p>
    <w:p>
      <w:pPr/>
      <w:r>
        <w:rPr>
          <w:sz w:val="24"/>
          <w:szCs w:val="24"/>
          <w:b w:val="1"/>
          <w:bCs w:val="1"/>
        </w:rPr>
        <w:t xml:space="preserve">Notion traduite: langue littéraire commune</w:t>
      </w:r>
    </w:p>
    <w:p>
      <w:pPr/>
      <w:r>
        <w:rPr/>
        <w:t xml:space="preserve">
Autre notion traduite avec le même therme: (russe) общенародный литературный язык</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E2185, p. 195</w:t>
      </w:r>
    </w:p>
    <w:p>
      <w:pPr/>
      <w:r>
        <w:rPr/>
        <w:t xml:space="preserve">    Но нам представляется, что функциональное соотношение новописьменного и старописьменного развитого языка в условиях массового одностороннего двуязычия с явным доминированием старописьменного языка совершенно аналогично соотношению локального варианта и нормированного литературного языка в вышеописанной ситуации. Действительно, когда мы говорим о литературном языке применительно к новописьменным языкам, очевидно, что мы употребляем этот термин в узком смысле. (Маловероятно, что какой-либо из новописьменных языков даже в отдаленном будущем сможет получить существенное функциональное развитие и соответственно обрести многоаспектную стилистическую дифференциацию. (...) Таким образом, речь идет (за исключением сферы образования) о тех сферах, которые выше были упомянуты в связи с региональными литературными языками. 
Сноска. Кстати сказать, сама по себе эта оппозиция общий литературный язык / региональный литературный язык очень показательна и свидетельствует о некоторых сдвигах в традиционной иерархии форм существования языка.</w:t>
      </w:r>
    </w:p>
    <w:p>
      <w:pPr/>
      <w:r>
        <w:rPr/>
        <w:t xml:space="preserve">    Mais nous pensons que la corrélation fonctionnelle de la langue de littérisation nouvelle et ancienne développée dans les conditions du bilinguisme de masse unilatéral avec une nette domination de la langue de littérisation ancienne est assez similaire à la corrélation de la version locale et de la langue littéraire normée dans la situation décrite ci-dessus. En effet, lorsque nous parlons d'une langue littéraire par rapport aux langues de littérisation nouvelle, il est clair que nous utilisons ce terme dans un sens étroit. (Il est peu probable que l'une des langues de littérisation nouvelle même dans un avenir lointain soit capable d'avoir un développement fonctionnel important et de gagner ainsi une différenciation stylistique multiaspect. (...) Ainsi, il s'agit (à l'exception du domaine de l'enseignement) des domaines qui ont été mentionnés ci-dessus dans le cadre des langues littéraires régionales .
Note. Par ailleurs, cette opposition langue littéraire commune / langue littéraire régionale est très révélatrice en soi et montre quelques changements dans la hiérarchie traditionnelle des formes d'existence de la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2024-05-17T01:30:05+02:00</dcterms:created>
  <dcterms:modified xsi:type="dcterms:W3CDTF">2024-05-17T01:30:05+02:00</dcterms:modified>
</cp:coreProperties>
</file>

<file path=docProps/custom.xml><?xml version="1.0" encoding="utf-8"?>
<Properties xmlns="http://schemas.openxmlformats.org/officeDocument/2006/custom-properties" xmlns:vt="http://schemas.openxmlformats.org/officeDocument/2006/docPropsVTypes"/>
</file>