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N0569</w:t>
      </w:r>
    </w:p>
    <w:p>
      <w:pPr/>
      <w:r>
        <w:rPr>
          <w:sz w:val="24"/>
          <w:szCs w:val="24"/>
          <w:b w:val="1"/>
          <w:bCs w:val="1"/>
        </w:rPr>
        <w:t xml:space="preserve">Notion originale: langue et culture régionales d'Alsace</w:t>
      </w:r>
    </w:p>
    <w:p>
      <w:pPr/>
      <w:r>
        <w:rPr>
          <w:sz w:val="24"/>
          <w:szCs w:val="24"/>
          <w:b w:val="1"/>
          <w:bCs w:val="1"/>
        </w:rPr>
        <w:t xml:space="preserve">Notion traduite: langue et culture régionales d'Alsace</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