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N0567</w:t>
      </w:r>
    </w:p>
    <w:p>
      <w:pPr/>
      <w:r>
        <w:rPr>
          <w:sz w:val="24"/>
          <w:szCs w:val="24"/>
          <w:b w:val="1"/>
          <w:bCs w:val="1"/>
        </w:rPr>
        <w:t xml:space="preserve">Notion originale: langues dialectes et parlers locaux</w:t>
      </w:r>
    </w:p>
    <w:p>
      <w:pPr/>
      <w:r>
        <w:rPr>
          <w:sz w:val="24"/>
          <w:szCs w:val="24"/>
          <w:b w:val="1"/>
          <w:bCs w:val="1"/>
        </w:rPr>
        <w:t xml:space="preserve">Notion traduite: langues dialectes et parlers locaux</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