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N0542</w:t>
      </w:r>
    </w:p>
    <w:p>
      <w:pPr/>
      <w:r>
        <w:rPr>
          <w:sz w:val="24"/>
          <w:szCs w:val="24"/>
          <w:b w:val="1"/>
          <w:bCs w:val="1"/>
        </w:rPr>
        <w:t xml:space="preserve">Notion originale: langues régionales mélanésiennes</w:t>
      </w:r>
    </w:p>
    <w:p>
      <w:pPr/>
      <w:r>
        <w:rPr>
          <w:sz w:val="24"/>
          <w:szCs w:val="24"/>
          <w:b w:val="1"/>
          <w:bCs w:val="1"/>
        </w:rPr>
        <w:t xml:space="preserve">Notion traduite: langues régionales mélanésiennes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D264</w:t>
      </w:r>
    </w:p>
    <w:p>
      <w:pPr/>
      <w:r>
        <w:rPr/>
        <w:t xml:space="preserve">Titre: Arrêté du 20 octobre 1992 modifiant l'arrêté du 15 avril 1988 modifié relatif aux langues régionales des lycées, pour y introduire les programmes des langues mélanésiennes, JORF, 23 octobre 1992, p. 14769</w:t>
      </w:r>
    </w:p>
    <w:p>
      <w:pPr/>
      <w:r>
        <w:rPr/>
        <w:t xml:space="preserve">Type: juridique - circulaire (national/fédéral)</w:t>
      </w:r>
    </w:p>
    <w:p>
      <w:pPr/>
      <w:r>
        <w:rPr/>
        <w:t xml:space="preserve">Langue: français</w:t>
      </w:r>
    </w:p>
    <w:p>
      <w:pPr/>
      <w:r>
        <w:rPr/>
        <w:t xml:space="preserve">
</w:t>
      </w:r>
    </w:p>
    <w:p>
      <w:pPr/>
      <w:r>
        <w:rPr/>
        <w:t xml:space="preserve">Extrait E1463, p. [Article 1er]</w:t>
      </w:r>
    </w:p>
    <w:p>
      <w:pPr/>
      <w:r>
        <w:rPr/>
        <w:t xml:space="preserve">    La liste des langues régionales pouvant faire l'objet d'une épreuve obligatoire ou facultative au baccalauréat, fixée au premier alinéa de l'annexe I de l'arrêté du 15 avril 1988 susvisé, est complétée par : les langues régionales mélanésiennes (ajië, drehu, nengone, paicî) .</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