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N0540</w:t>
      </w:r>
    </w:p>
    <w:p>
      <w:pPr/>
      <w:r>
        <w:rPr>
          <w:sz w:val="24"/>
          <w:szCs w:val="24"/>
          <w:b w:val="1"/>
          <w:bCs w:val="1"/>
        </w:rPr>
        <w:t xml:space="preserve">Notion originale: langues et dialectes locaux</w:t>
      </w:r>
    </w:p>
    <w:p>
      <w:pPr/>
      <w:r>
        <w:rPr>
          <w:sz w:val="24"/>
          <w:szCs w:val="24"/>
          <w:b w:val="1"/>
          <w:bCs w:val="1"/>
        </w:rPr>
        <w:t xml:space="preserve">Notion traduite: langues et dialectes locaux</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D465</w:t>
      </w:r>
    </w:p>
    <w:p>
      <w:pPr/>
      <w:r>
        <w:rPr/>
        <w:t xml:space="preserve">Titre: 26 mai 1989, Inédit au Recueil, n°63018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E1706</w:t>
      </w:r>
    </w:p>
    <w:p>
      <w:pPr/>
      <w:r>
        <w:rPr/>
        <w:t xml:space="preserve">    Vu la loi n° 51-46 du 11 janvier 1951 relative à l'enseignement des langues et dialectes locaux ;
(…)
Considérant que, par le jugement attaqué, le tribunal administratif de Marseille a annulé, dans sa totalité, la circulaire relative à l'enseignement du provençal dans l'académie d'Aix-Marseille prise par le recteur de cette académie au motif que ce dernier était incompétent pour prescrire l'enseignement du provençal avec utilisation des deux graphies, occitane et mistralienne ;
Considérant, d'une part, qu'en tant qu'elle fait connaître aux inspecteurs et chefs d'établissements les raisons pour lesquelles le recteur estime opportun de préférer, pour l'enseignement du provençal, l'utilisation de la graphie mistralienne à celle de la graphie occitane dans les classes de continuation, ladite circulaire ne présente pas le caractère d'une décision susceptible d'être déférée au juge de l'excès de pouvoir ;
(…)
Considérant qu'il résulte de tout ce qui précède que le MINISTRE DE L'EDUCATION NATIONALE est fondé à soutenir que c'est à tort que, par le jugement attaqué, le tribunal administratif de Marseille a annulé la circulaire du recteur d'Aix-Marseille du 22 décembre 1981 ;</w:t>
      </w:r>
    </w:p>
    <w:p>
      <w:pPr/>
      <w:r>
        <w:rPr/>
        <w:t xml:space="preserve">
</w:t>
      </w:r>
    </w:p>
    <w:p>
      <w:pPr/>
      <w:r>
        <w:rPr/>
        <w:t xml:space="preserve">
</w:t>
      </w:r>
    </w:p>
    <w:p>
      <w:pPr/>
      <w:r>
        <w:rPr>
          <w:b w:val="1"/>
          <w:bCs w:val="1"/>
        </w:rPr>
        <w:t xml:space="preserve">Document: D468</w:t>
      </w:r>
    </w:p>
    <w:p>
      <w:pPr/>
      <w:r>
        <w:rPr/>
        <w:t xml:space="preserve">Titre: 31 décembre 1981, mentionné aux tables du Recueil</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RENNES</w:t>
      </w:r>
    </w:p>
    <w:p>
      <w:pPr/>
      <w:r>
        <w:rPr/>
        <w:t xml:space="preserve">
</w:t>
      </w:r>
    </w:p>
    <w:p>
      <w:pPr/>
      <w:r>
        <w:rPr/>
        <w:t xml:space="preserve">Extrait E1709</w:t>
      </w:r>
    </w:p>
    <w:p>
      <w:pPr/>
      <w:r>
        <w:rPr/>
        <w:t xml:space="preserve">    30-03-02 La décision par laquelle un proviseur de lycée effectue, entre diverses classes de l'établissement, la répartition du quota d'heures dont il dispose pour l'enseignement d'une matière constitue une décision qui fait grief aux élèves et aux enseignants.
30-02-02[1] Il résulte des dispositions des articles 6 et 10 de la loi du 11 janvier 1951, de l'article 12 de la loi du 11 juillet 1975 et du décret du 5 octobre 1970 que l'enseignement du breton doit être offert aux élèves du second cycle du second degré des lycées et collèges situés dans la zone d'influence du breton qui désirent bénéficier de cet enseignement facultatif, notamment en vue de se présenter à l'épreuve facultative de breton au baccalauréat.
30-02-02[2] Proviseur de lycée ayant omis, lors de la rentrée scolaire, de recenser, dans les classes de seconde, les candidats à l'enseignement facultatif de breton. Dès lors, en décidant de constituer, sur un total de neuf groupes pour l'ensemble du second degré du second cycle, deux groupes comprenant au total 18 élèves, réservés aux 441 élèves des classes de seconde, le proviseur a, eu égard à l'importance des effectifs de ces classes et aux normes d'encadrement fixées par l'administration, manifestement sous-évalué les besoins. Annulation de cette décision, en tant qu'elle concerne l'affectation des élèves de seconde, qui méconnaît les dispositions relatives à l'enseignement des langues et des dialectes locaux.</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E1353, p. [Article 1er, abrogé par : Ordonnance n° 2000-549 du 15 juin 2000 relative à la partie Législative du code de l'éducation, JORF, 22 juin 2000, p. 9346, article 7, 51°]</w:t>
      </w:r>
    </w:p>
    <w:p>
      <w:pPr/>
      <w:r>
        <w:rPr/>
        <w:t xml:space="preserve">    Le conseil supérieur de l'éducation nationale sera chargé, dans le cadre et dès la promulgation de la présente loi, de rechercher les meilleurs moyens de favoriser l'étude des langues et dialectes locaux dans les régions où ils sont en usage.</w:t>
      </w:r>
    </w:p>
    <w:p>
      <w:pPr/>
      <w:r>
        <w:rPr/>
        <w:t xml:space="preserve">
</w:t>
      </w:r>
    </w:p>
    <w:p>
      <w:pPr/>
      <w:r>
        <w:rPr/>
        <w:t xml:space="preserve">Extrait E1354, p. [Article 6, abrogé par : Ordonnance n° 2000-549 du 15 juin 2000 relative à la partie Législative du code de l'éducation, JORF, 22 juin 2000, p. 9346, article 7, 51°]</w:t>
      </w:r>
    </w:p>
    <w:p>
      <w:pPr/>
      <w:r>
        <w:rPr/>
        <w:t xml:space="preserve">    Dans les lycées et collèges, l'enseignement facultatif de toutes les langues et dialectes locaux, ainsi que du folklore, de la littérature et des arts populaires locaux, pourra prendre place dans le cadre des activités dirigées.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D287</w:t>
      </w:r>
    </w:p>
    <w:p>
      <w:pPr/>
      <w:r>
        <w:rPr/>
        <w:t xml:space="preserve">Titre: Décret n° 92-1162 du 20 octobre 1992 relatif à l'enseignement des langues et dialectes locaux, JORF, 23 octobre 1992, p. 14767</w:t>
      </w:r>
    </w:p>
    <w:p>
      <w:pPr/>
      <w:r>
        <w:rPr/>
        <w:t xml:space="preserve">Type: juridique - arrêté (national/fédéral)</w:t>
      </w:r>
    </w:p>
    <w:p>
      <w:pPr/>
      <w:r>
        <w:rPr/>
        <w:t xml:space="preserve">Langue: français</w:t>
      </w:r>
    </w:p>
    <w:p>
      <w:pPr/>
      <w:r>
        <w:rPr/>
        <w:t xml:space="preserve">
</w:t>
      </w:r>
    </w:p>
    <w:p>
      <w:pPr/>
      <w:r>
        <w:rPr/>
        <w:t xml:space="preserve">Extrait E1355, p. [Article 1er]</w:t>
      </w:r>
    </w:p>
    <w:p>
      <w:pPr/>
      <w:r>
        <w:rPr/>
        <w:t xml:space="preserve">    Les articles 2 à 9 de la loi du 11 janvier 1951 modifiée relatifs à l'enseignement des langues et dialectes locaux sont applicables dans la zone d'influence des langues mélanésiennes pour ce qui concerne l'ajië, le drehu, le nengone et le paicî.</w:t>
      </w:r>
    </w:p>
    <w:p>
      <w:pPr/>
      <w:r>
        <w:rPr/>
        <w:t xml:space="preserve">
</w:t>
      </w:r>
    </w:p>
    <w:p>
      <w:pPr/>
      <w:r>
        <w:rPr/>
        <w:t xml:space="preserve">
</w:t>
      </w:r>
    </w:p>
    <w:p>
      <w:pPr/>
      <w:r>
        <w:rPr>
          <w:b w:val="1"/>
          <w:bCs w:val="1"/>
        </w:rPr>
        <w:t xml:space="preserve">Document: D176</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E1356, p. [Article 3 alinéa 3]</w:t>
      </w:r>
    </w:p>
    <w:p>
      <w:pPr/>
      <w:r>
        <w:rPr/>
        <w:t xml:space="preserve">    Les candidats qui désirent subir l'épreuve facultative de seconde langue vivante ont le choix entre l'une des langues énumérées au premier alinéa de l'article 4 ci-dessous ou entre les langues et dialectes locaux prévus par la loi du 11 janvier 1951 modifiée.</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