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N0537</w:t>
      </w:r>
    </w:p>
    <w:p>
      <w:pPr/>
      <w:r>
        <w:rPr>
          <w:sz w:val="24"/>
          <w:szCs w:val="24"/>
          <w:b w:val="1"/>
          <w:bCs w:val="1"/>
        </w:rPr>
        <w:t xml:space="preserve">Notion originale: langues et dialectes à extension régionale délimitée</w:t>
      </w:r>
    </w:p>
    <w:p>
      <w:pPr/>
      <w:r>
        <w:rPr>
          <w:sz w:val="24"/>
          <w:szCs w:val="24"/>
          <w:b w:val="1"/>
          <w:bCs w:val="1"/>
        </w:rPr>
        <w:t xml:space="preserve">Notion traduite: langues et dialectes à extension régionale délimitée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E1345, p. [Article 4]</w:t>
      </w:r>
    </w:p>
    <w:p>
      <w:pPr/>
      <w:r>
        <w:rPr/>
        <w:t xml:space="preserve">    Les épreuves du concours externe institué par l'article 4 (1o) du décret du 1er août 1990 susvisé sont fixées comme suit :
(…)
Epreuve facultative
Les candidats peuvent demander lors de leur inscription à subir, en cas d'admissibilité,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Extrait E1346, p. [Article 5]</w:t>
      </w:r>
    </w:p>
    <w:p>
      <w:pPr/>
      <w:r>
        <w:rPr/>
        <w:t xml:space="preserve">    Les épreuves du second concours interne, institué par l'article 4 (1o) du décret du 1er août 1990 susvisé, sont fixées comme suit :
(…)
Epreuves facultatives
Les candidats peuvent demander lors de leur inscription à subir, en cas d'admissibilité:
a) Soit une épreuve orale portant sur une langue choisie par le candidat au moment de son inscription parmi les langues de la Communauté économique européenne et les langues enseignées comme première langue dans les collèges et consistant en un entretien dans la langue avec le jury, à partir d'un document fourni par celui-ci (durée de l'épreuve: trente minutes pour la préparation; dix minutes pour l'entretien; coefficient 1);
b) Soit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2025-07-03T08:12:02+02:00</dcterms:created>
  <dcterms:modified xsi:type="dcterms:W3CDTF">2025-07-03T08:12:02+02:00</dcterms:modified>
</cp:coreProperties>
</file>

<file path=docProps/custom.xml><?xml version="1.0" encoding="utf-8"?>
<Properties xmlns="http://schemas.openxmlformats.org/officeDocument/2006/custom-properties" xmlns:vt="http://schemas.openxmlformats.org/officeDocument/2006/docPropsVTypes"/>
</file>