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N0525</w:t>
      </w:r>
    </w:p>
    <w:p>
      <w:pPr/>
      <w:r>
        <w:rPr>
          <w:sz w:val="24"/>
          <w:szCs w:val="24"/>
          <w:b w:val="1"/>
          <w:bCs w:val="1"/>
        </w:rPr>
        <w:t xml:space="preserve">Notion originale: Volksgruppensprache</w:t>
      </w:r>
    </w:p>
    <w:p>
      <w:pPr/>
      <w:r>
        <w:rPr>
          <w:sz w:val="24"/>
          <w:szCs w:val="24"/>
          <w:b w:val="1"/>
          <w:bCs w:val="1"/>
        </w:rPr>
        <w:t xml:space="preserve">Notion traduite: langue de groupe ethnique</w:t>
      </w:r>
    </w:p>
    <w:p>
      <w:pPr/>
      <w:r>
        <w:rPr/>
        <w:t xml:space="preserve">
Autre notion traduite avec le même therme: (russe) язык этнической группы</w:t>
      </w:r>
    </w:p>
    <w:p>
      <w:pPr/>
      <w:r>
        <w:rPr/>
        <w:t xml:space="preserve">
</w:t>
      </w:r>
    </w:p>
    <w:p>
      <w:pPr/>
      <w:r>
        <w:rPr>
          <w:b w:val="1"/>
          <w:bCs w:val="1"/>
        </w:rPr>
        <w:t xml:space="preserve">Document: D158</w:t>
      </w:r>
    </w:p>
    <w:p>
      <w:pPr/>
      <w:r>
        <w:rPr/>
        <w:t xml:space="preserve">Titre: Ungarischunterricht im Burgenland</w:t>
      </w:r>
    </w:p>
    <w:p>
      <w:pPr/>
      <w:r>
        <w:rPr/>
        <w:t xml:space="preserve">Titre traduit: L'enseignement du hongrois au Burgenland</w:t>
      </w:r>
    </w:p>
    <w:p>
      <w:pPr/>
      <w:r>
        <w:rPr/>
        <w:t xml:space="preserve">Type: linguistique - article d'ouvrage collectif</w:t>
      </w:r>
    </w:p>
    <w:p>
      <w:pPr/>
      <w:r>
        <w:rPr/>
        <w:t xml:space="preserve">Langue: allemand</w:t>
      </w:r>
    </w:p>
    <w:p>
      <w:pPr/>
      <w:r>
        <w:rPr/>
        <w:t xml:space="preserve">Auteur: BRENNER, Edina</w:t>
      </w:r>
    </w:p>
    <w:p>
      <w:pPr/>
      <w:r>
        <w:rPr/>
        <w:t xml:space="preserve">In :Teaching Hungarian in AustriaDirigé par: LAAKSO, Johanna</w:t>
      </w:r>
    </w:p>
    <w:p>
      <w:pPr/>
      <w:r>
        <w:rPr/>
        <w:t xml:space="preserve">Ed. : LIT Verlag, Münster, 2008, pp. 128-128</w:t>
      </w:r>
    </w:p>
    <w:p>
      <w:pPr/>
      <w:r>
        <w:rPr/>
        <w:t xml:space="preserve">
</w:t>
      </w:r>
    </w:p>
    <w:p>
      <w:pPr/>
      <w:r>
        <w:rPr/>
        <w:t xml:space="preserve">Extrait E2604, p. 130</w:t>
      </w:r>
    </w:p>
    <w:p>
      <w:pPr/>
      <w:r>
        <w:rPr/>
        <w:t xml:space="preserve">    Ende der 80er, Anfang der 90er Jahre begann in der Bevölkerung ein Umdenkprozess, der die Menschen immer mehr den Wert der zwei- oder Mehrsprachigkeit erkennen ließ. Dies führte dazu, dass Eltern zunehmend auf eine zweisprachige Erziehung im Kindergarten und auf zweisprachigen Unterricht in der Schule Wert legten. Aber auch die Erwachsenen selbst zeigten im Bereich der Erwachsenenbildung verstärktes Interesse am Erlernen einer Volksgruppensprache.
Besonders nach 1989 wurde die ungarische Sprache wieder attraktiver. Ein ganz wesentlicher Punkt auf dem Weg der Wiederetablierung der ungarischen Sprache an Burgenlands Schule war das Minderheitenschulgesetz aus dem Jahr 1994.</w:t>
      </w:r>
    </w:p>
    <w:p>
      <w:pPr/>
      <w:r>
        <w:rPr/>
        <w:t xml:space="preserve">    Fin des années 80, début des années 90, a commencé parmi la population une remise en question, qui a amené les gens à reconnaitre une valeur croissante au bilinguisme ou au multilinguisme. Il en a résulté que les parents ont accordé de l'importance à une éducation bilingue à l'école maternelle et à des classes bilingues à l'école. Mais les adultes eux-mêmes, dans le domaine de la formation pour adultes, ont également montré un intérêt accru pour l'apprentissage de la langue d'un groupe ethnique.
Par ailleurs, après 1989, la langue hongroise est à nouveau devenue attractive. Un point particulièrement essentiel sur le chemin du rétablissement de la langue hongroise dans les écoles du Burgenland a été la loi scolaire sur les minorités de l'année 1994.</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2025-07-06T23:41:24+02:00</dcterms:created>
  <dcterms:modified xsi:type="dcterms:W3CDTF">2025-07-06T23:41:24+02:00</dcterms:modified>
</cp:coreProperties>
</file>

<file path=docProps/custom.xml><?xml version="1.0" encoding="utf-8"?>
<Properties xmlns="http://schemas.openxmlformats.org/officeDocument/2006/custom-properties" xmlns:vt="http://schemas.openxmlformats.org/officeDocument/2006/docPropsVTypes"/>
</file>