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N0052</w:t>
      </w:r>
    </w:p>
    <w:p>
      <w:pPr/>
      <w:r>
        <w:rPr>
          <w:sz w:val="24"/>
          <w:szCs w:val="24"/>
          <w:b w:val="1"/>
          <w:bCs w:val="1"/>
        </w:rPr>
        <w:t xml:space="preserve">Notion originale: langue régionale minoritaire</w:t>
      </w:r>
    </w:p>
    <w:p>
      <w:pPr/>
      <w:r>
        <w:rPr>
          <w:sz w:val="24"/>
          <w:szCs w:val="24"/>
          <w:b w:val="1"/>
          <w:bCs w:val="1"/>
        </w:rPr>
        <w:t xml:space="preserve">Notion traduite: langue régionale minoritaire</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E0260, p. 132-133</w:t>
      </w:r>
    </w:p>
    <w:p>
      <w:pPr/>
      <w:r>
        <w:rPr/>
        <w:t xml:space="preserve">    Nous appelons « satellisation » le phénomène par lequel l’idéologie dominante tend à « rattacher » un système linguistique à un autre auquel on le compare et dont on affirme qu’il est une « déformation » ou « une forme subordonnée ». Nous employons intentionnellement un terme qui présuppose des existences préalables autonomes. L’absence de parenté (cf. Gumperz déjà cité et l’extension du concept de diglossie), et même parfois le contact géographique apparent ne protègent en rien contre ce processus car le facteur efficient en est l’hégémonie. (…)  De même une enquête d’U. Ammon a montré à que point, dans divers pays industrialisés (Angleterre, R.F.A, Suisse, France, Italie, Espagne, Etats-Unis, U.R.S.S), les rapports standard / dialectes, langue dominante / langues minorées pouvaient être complexes. En conclusion de ce travail ayant donné lieu à des articles sur questionnaire, l’auteur fait remarquer qu’en Allemagne Fédérale et en Angleterre on a affaire seulement soit à des dialectes qui sont identifiables en tant que tels, soit à des langues minoritaires. En France, en Italie et en Espagne, au contraire, on a aussi affaire à des « langues régionales  minoritaires » qui sont traitées comme des dialectes alors qu’elles ont leur propre tradition littéraire et leur part d’historicité. De son côté la Suisse garantit l’autonomie à quatre langues différentes pour lesquelles, bien sûr, il n’existe pas de standard commun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2024-05-16T18:39:11+02:00</dcterms:created>
  <dcterms:modified xsi:type="dcterms:W3CDTF">2024-05-16T18:39:11+02:00</dcterms:modified>
</cp:coreProperties>
</file>

<file path=docProps/custom.xml><?xml version="1.0" encoding="utf-8"?>
<Properties xmlns="http://schemas.openxmlformats.org/officeDocument/2006/custom-properties" xmlns:vt="http://schemas.openxmlformats.org/officeDocument/2006/docPropsVTypes"/>
</file>