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N0516</w:t>
      </w:r>
    </w:p>
    <w:p>
      <w:pPr/>
      <w:r>
        <w:rPr>
          <w:sz w:val="24"/>
          <w:szCs w:val="24"/>
          <w:b w:val="1"/>
          <w:bCs w:val="1"/>
        </w:rPr>
        <w:t xml:space="preserve">Notion originale: regional minority language</w:t>
      </w:r>
    </w:p>
    <w:p>
      <w:pPr/>
      <w:r>
        <w:rPr>
          <w:sz w:val="24"/>
          <w:szCs w:val="24"/>
          <w:b w:val="1"/>
          <w:bCs w:val="1"/>
        </w:rPr>
        <w:t xml:space="preserve">Notion traduite: langue minoritaire régionale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