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N0501</w:t>
      </w:r>
    </w:p>
    <w:p>
      <w:pPr/>
      <w:r>
        <w:rPr>
          <w:sz w:val="24"/>
          <w:szCs w:val="24"/>
          <w:b w:val="1"/>
          <w:bCs w:val="1"/>
        </w:rPr>
        <w:t xml:space="preserve">Notion originale: hizkuntza probintzial</w:t>
      </w:r>
    </w:p>
    <w:p>
      <w:pPr/>
      <w:r>
        <w:rPr>
          <w:sz w:val="24"/>
          <w:szCs w:val="24"/>
          <w:b w:val="1"/>
          <w:bCs w:val="1"/>
        </w:rPr>
        <w:t xml:space="preserve">Notion traduite: langue provinciale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E2339, p. 161</w:t>
      </w:r>
    </w:p>
    <w:p>
      <w:pPr/>
      <w:r>
        <w:rPr/>
        <w:t xml:space="preserve">    Stewarten sailkapenean hizkuntza probintzial bat ofiziala da lurralde jakin batean, euskara bezala Euskal Autonomia Erkidegoan.</w:t>
      </w:r>
    </w:p>
    <w:p>
      <w:pPr/>
      <w:r>
        <w:rPr/>
        <w:t xml:space="preserve">    Dans la classification de Stewart une langue provinciale est officielle dans une région donnée, comme l'est le basque dans la Communauté Autonome Basque.</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