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N0500</w:t>
      </w:r>
    </w:p>
    <w:p>
      <w:pPr/>
      <w:r>
        <w:rPr>
          <w:sz w:val="24"/>
          <w:szCs w:val="24"/>
          <w:b w:val="1"/>
          <w:bCs w:val="1"/>
        </w:rPr>
        <w:t xml:space="preserve">Notion originale: tokiko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(russe) местный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E2338, p. 160</w:t>
      </w:r>
    </w:p>
    <w:p>
      <w:pPr/>
      <w:r>
        <w:rPr/>
        <w:t xml:space="preserve">    Deskolonizazioaren ondorioz, Afrikako, Hego Amerikako eta Asiako herri gazteek hizkuntza-plangintza honako arazo kezkagarria dute: zein nazio-hizkuntza hautatu? Zein hizkuntza administraziorako edota irakaskuntzarako? Kolonizatzaile ohiena (ingelesa, gaztelania, frantsesa…)? Tokiko hizkuntzetako bat? Baina, zein? Erabiliena?</w:t>
      </w:r>
    </w:p>
    <w:p>
      <w:pPr/>
      <w:r>
        <w:rPr/>
        <w:t xml:space="preserve">    Après la décolonisation, les nouveaux pays d'Afrique, d'Amérique du Sud et d'Asie ont eu des décisions délicates à prendre en matière de planification linguistique : quelle langue nationale choisir ? Quelle langue choisir pour les administrations et l'enseignement ? Celle de l'ancien colonisateur (anglais, espagnol, français…) ? Une des langues locales ? Oui, mais laquelle ? La plus utilisée ?</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