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N0050</w:t>
      </w:r>
    </w:p>
    <w:p>
      <w:pPr/>
      <w:r>
        <w:rPr>
          <w:sz w:val="24"/>
          <w:szCs w:val="24"/>
          <w:b w:val="1"/>
          <w:bCs w:val="1"/>
        </w:rPr>
        <w:t xml:space="preserve">Notion originale: langue minorée</w:t>
      </w:r>
    </w:p>
    <w:p>
      <w:pPr/>
      <w:r>
        <w:rPr>
          <w:sz w:val="24"/>
          <w:szCs w:val="24"/>
          <w:b w:val="1"/>
          <w:bCs w:val="1"/>
        </w:rPr>
        <w:t xml:space="preserve">Notion traduite: langue minorée</w:t>
      </w:r>
    </w:p>
    <w:p>
      <w:pPr/>
      <w:r>
        <w:rPr/>
        <w:t xml:space="preserve">
Autre notion traduite avec le même therme: (espagnol) lengua minorizada</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E2858, p. 100</w:t>
      </w:r>
    </w:p>
    <w:p>
      <w:pPr/>
      <w:r>
        <w:rPr/>
        <w:t xml:space="preserve">    Or, en même temps qu’on prend conscience de l’universalité des situations d’hétérogénéité linguistique et de contacts de langues, on doit constater qu’apparemment il est bien difficile à un État – c’est-à-dire aux groupes sociaux qui exercent le pouvoir politique dans les formes contemporaines d’État – de reconnaître que ses citoyens possèdent plusieurs langues, et d’adopter des mesures et pratiques non discriminatoires à leur égard. Les exemples sont innombrables. Ainsi, chacun sait que les Algériens usent non pas seulement de l’arabe standard, mais aussi des dialectes arabes, du tifinaqgh du français… : mais l’Algérie sait-elle aujourd’hui reconnaître sa propre richesse ? Ou la Turquie, avec le turc, le kurde, le laze, le grec… ? C’est ce refus du pluralisme linguistique, plus que le refus de tel ou tel groupe particulier, qui est commun à de nombreux États, et qui produit tant de langues minorées. Ce terme avancé par J.B. Marcellesi (Marcellesi, 1986, p. 14) s’impose car la notion quantitative de "minoritaire" ne suffit pas à décrire leur statut.</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E1485, p. 103</w:t>
      </w:r>
    </w:p>
    <w:p>
      <w:pPr/>
      <w:r>
        <w:rPr/>
        <w:t xml:space="preserve">    Enseigner une langue minorée est un cas de figure pédagogique qui n'a évidemment rien de simple. S'il y a minoration linguistique, c'est-à-dire domination d'une langue sur une autre, l'enseignement et le discours tenu sur cet enseignement ne peuvent qu'être investis par le conflit socio-langagier ; une situation diglossique donne lieu à toutes sortes d'attitudes et de comportements bien connus et transforme bon nombre d'activités et d'institutions sociales et culturelles en enjeux.</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