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N0471</w:t>
      </w:r>
    </w:p>
    <w:p>
      <w:pPr/>
      <w:r>
        <w:rPr>
          <w:sz w:val="24"/>
          <w:szCs w:val="24"/>
          <w:b w:val="1"/>
          <w:bCs w:val="1"/>
        </w:rPr>
        <w:t xml:space="preserve">Notion originale: локальные языки этнических групп и миноритарных народностей</w:t>
      </w:r>
    </w:p>
    <w:p>
      <w:pPr/>
      <w:r>
        <w:rPr>
          <w:sz w:val="24"/>
          <w:szCs w:val="24"/>
          <w:b w:val="1"/>
          <w:bCs w:val="1"/>
        </w:rPr>
        <w:t xml:space="preserve">Notion translittere: lokalʹnye âzyki ètničeskih grupp i minoritarny narodnostej</w:t>
      </w:r>
    </w:p>
    <w:p>
      <w:pPr/>
      <w:r>
        <w:rPr>
          <w:sz w:val="24"/>
          <w:szCs w:val="24"/>
          <w:b w:val="1"/>
          <w:bCs w:val="1"/>
        </w:rPr>
        <w:t xml:space="preserve">Notion traduite: langues locales des groupes ethniques et des peuples minoritaires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2025-08-18T14:36:52+02:00</dcterms:created>
  <dcterms:modified xsi:type="dcterms:W3CDTF">2025-08-18T14:36:52+02:00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