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N0470</w:t>
      </w:r>
    </w:p>
    <w:p>
      <w:pPr/>
      <w:r>
        <w:rPr>
          <w:sz w:val="24"/>
          <w:szCs w:val="24"/>
          <w:b w:val="1"/>
          <w:bCs w:val="1"/>
        </w:rPr>
        <w:t xml:space="preserve">Notion originale: региональные языки титульных народов</w:t>
      </w:r>
    </w:p>
    <w:p>
      <w:pPr/>
      <w:r>
        <w:rPr>
          <w:sz w:val="24"/>
          <w:szCs w:val="24"/>
          <w:b w:val="1"/>
          <w:bCs w:val="1"/>
        </w:rPr>
        <w:t xml:space="preserve">Notion translittere: regionalʹnye âzyki titulʹnyh narodov</w:t>
      </w:r>
    </w:p>
    <w:p>
      <w:pPr/>
      <w:r>
        <w:rPr>
          <w:sz w:val="24"/>
          <w:szCs w:val="24"/>
          <w:b w:val="1"/>
          <w:bCs w:val="1"/>
        </w:rPr>
        <w:t xml:space="preserve">Notion traduite: langues régionales des peuples titulaires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2025-07-23T21:55:07+02:00</dcterms:created>
  <dcterms:modified xsi:type="dcterms:W3CDTF">2025-07-23T21:55:07+02:00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