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N0047</w:t>
      </w:r>
    </w:p>
    <w:p>
      <w:pPr/>
      <w:r>
        <w:rPr>
          <w:sz w:val="24"/>
          <w:szCs w:val="24"/>
          <w:b w:val="1"/>
          <w:bCs w:val="1"/>
        </w:rPr>
        <w:t xml:space="preserve">Notion originale: langue de population nomade ou semi-nomade</w:t>
      </w:r>
    </w:p>
    <w:p>
      <w:pPr/>
      <w:r>
        <w:rPr>
          <w:sz w:val="24"/>
          <w:szCs w:val="24"/>
          <w:b w:val="1"/>
          <w:bCs w:val="1"/>
        </w:rPr>
        <w:t xml:space="preserve">Notion traduite: langue de population nomade ou semi-nomade</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E0259, p. 65</w:t>
      </w:r>
    </w:p>
    <w:p>
      <w:pPr/>
      <w:r>
        <w:rPr/>
        <w:t xml:space="preserve">    On distingue plusieurs types de langues dépourvues de territoire : 
-	Les langues de populations nomades ou semi-nomades (par exemple les Roms) ;
-	Les langues de populations migrantes qui ont quitté leur territoire d’origine dans un passé suffisamment éloigné et se sont dispersées dans des aires géographiques diversifiées. Cette dernière hypothèse correspond aussi aux langues de l'immigration.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2024-05-17T00:27:43+02:00</dcterms:created>
  <dcterms:modified xsi:type="dcterms:W3CDTF">2024-05-17T00:27:43+02:00</dcterms:modified>
</cp:coreProperties>
</file>

<file path=docProps/custom.xml><?xml version="1.0" encoding="utf-8"?>
<Properties xmlns="http://schemas.openxmlformats.org/officeDocument/2006/custom-properties" xmlns:vt="http://schemas.openxmlformats.org/officeDocument/2006/docPropsVTypes"/>
</file>