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N0469</w:t>
      </w:r>
    </w:p>
    <w:p>
      <w:pPr/>
      <w:r>
        <w:rPr>
          <w:sz w:val="24"/>
          <w:szCs w:val="24"/>
          <w:b w:val="1"/>
          <w:bCs w:val="1"/>
        </w:rPr>
        <w:t xml:space="preserve">Notion originale: титульный национальный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titulʹnyj nacionalʹnyj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nationale titulaire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D128</w:t>
      </w:r>
    </w:p>
    <w:p>
      <w:pPr/>
      <w:r>
        <w:rPr/>
        <w:t xml:space="preserve">Titre: Языковые ситуации в тюркоязычных республиках Российской Федерации (краткий социолингвистический очерк)</w:t>
      </w:r>
    </w:p>
    <w:p>
      <w:pPr/>
      <w:r>
        <w:rPr/>
        <w:t xml:space="preserve">Titre translittéré: Âzykovye situacii v tûrkoâzyčnyh respublikah Rossijskoj Federacii (kratkij sociolingvističeskij očerk)</w:t>
      </w:r>
    </w:p>
    <w:p>
      <w:pPr/>
      <w:r>
        <w:rPr/>
        <w:t xml:space="preserve">Titre traduit: Situations linguistiques dans les républiques turcophones de la Fédération de Russie (bref aperçu sociolinguistique)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БАСКАКОВ, А. Н. [BASKAKOV, A.N.]</w:t>
      </w:r>
    </w:p>
    <w:p>
      <w:pPr/>
      <w:r>
        <w:rPr/>
        <w:t xml:space="preserve">Auteur: НАСЫРОВА, О. Д. [NASYROVA, O. D.]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34-129</w:t>
      </w:r>
    </w:p>
    <w:p>
      <w:pPr/>
      <w:r>
        <w:rPr/>
        <w:t xml:space="preserve">
</w:t>
      </w:r>
    </w:p>
    <w:p>
      <w:pPr/>
      <w:r>
        <w:rPr/>
        <w:t xml:space="preserve">Extrait E2126, p. 121-122</w:t>
      </w:r>
    </w:p>
    <w:p>
      <w:pPr/>
      <w:r>
        <w:rPr/>
        <w:t xml:space="preserve">    Общность основных черт социальной, коммуникативной и языковой ситуаций в тюркоязычных республиках РФ позволяет выявить общую модель – архетип языковой ситуации, свойственный большинству национальных субъектов Федерации. Для всех них характерна экзоглоссия – софункционирование титульных национальных языков с русским языком, несбалансированность – количественная и качественная неравнозначность общественных функций, выполняемых русским и национальными языками, и трехкомпонентность – наличие трех функциональных типов языков: 1) федерального русского языка- макропосредника, выполняющего максимальные общественные функции в Федерации и ее национальных субъектах; 2) региональные языки титульных народов субъектов Федерации, выполняющие ограниченные функции на территориях расселения их носителей; 3) локальные языки этнических групп и миноритарных народностей на территории национальных субъектов Федерации, выполняющие минимальные общественные функции.</w:t>
      </w:r>
    </w:p>
    <w:p>
      <w:pPr/>
      <w:r>
        <w:rPr/>
        <w:t xml:space="preserve">    La communauté des principales caractéristiques des situations sociale, communicative et linguistique dans les républiques turcophones de la Fédération de Russie permet de révèler un modèle commun - l'archétype de la situation linguistique, propre à la majorité des sujets nationaux de la Fédération. Pour eux, sont caracteristiques : l'exoglossie (co-fonctionnement des langues nationales titulaires avec la langue russe) ; le déséquilibre (la non-équivalence quantitative et qualitative des fonctions sociales effectuées par la langue russe et les langues nationales) et les trois composantes, à savoir l'existence de trois types fonctionnels de langues : 1) la langue fédérale russe, macrointérmediaire qui effectue un maximum de fonctions sociales dans la Fédération et dans ses sujets nationaux ; 2) les langues régionales des peuples titulaires des sujets de la Fédération qui exercent des fonctions limitées sur le territoire occupé par ces locuteurs ; 3) les langues locales des groupes ethniques et des peuples minoritaires sur le territoire des sujets nationaux de la Fédération, qui exercent des fonctions sociales minimales.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2025-06-08T15:30:07+02:00</dcterms:created>
  <dcterms:modified xsi:type="dcterms:W3CDTF">2025-06-08T15:30:07+02:00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