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N0466</w:t>
      </w:r>
    </w:p>
    <w:p>
      <w:pPr/>
      <w:r>
        <w:rPr>
          <w:sz w:val="24"/>
          <w:szCs w:val="24"/>
          <w:b w:val="1"/>
          <w:bCs w:val="1"/>
        </w:rPr>
        <w:t xml:space="preserve">Notion originale: язык неавтохтонного населения</w:t>
      </w:r>
    </w:p>
    <w:p>
      <w:pPr/>
      <w:r>
        <w:rPr>
          <w:sz w:val="24"/>
          <w:szCs w:val="24"/>
          <w:b w:val="1"/>
          <w:bCs w:val="1"/>
        </w:rPr>
        <w:t xml:space="preserve">Notion translittere: âzyk neavtohtonnogo naseleniâ</w:t>
      </w:r>
    </w:p>
    <w:p>
      <w:pPr/>
      <w:r>
        <w:rPr>
          <w:sz w:val="24"/>
          <w:szCs w:val="24"/>
          <w:b w:val="1"/>
          <w:bCs w:val="1"/>
        </w:rPr>
        <w:t xml:space="preserve">Notion traduite: langue de population non autochtone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E2118, p. 114</w:t>
      </w:r>
    </w:p>
    <w:p>
      <w:pPr/>
      <w:r>
        <w:rPr/>
        <w:t xml:space="preserve">    Приоритет национальных государственных языков, а не родного языка личности, ставший основным принципом языкового законодательства республик РФ, не исключает защиты и сохранения миноритарных языков во избежание их полной ассимиляции. Во всех программах языкового законодательства допускается использование и развитие языков неавтохтонного населения в средствах массовой информации, в сферах общего образования и национальной культуры. Таким образом, эти сферы являются перспективными как для сохранения и развития государственных языков, так и для языков национальных меньшинств, проживающих в республиках.</w:t>
      </w:r>
    </w:p>
    <w:p>
      <w:pPr/>
      <w:r>
        <w:rPr/>
        <w:t xml:space="preserve">    La priorité des langues nationales d'État et non pas de la langue native de la personne qui est devenue le principe fondamental de la législation linguistique des républiques de la Fédération de Russie, n'exclue pas la protection et la préservation des langues minoritaires afin d'éviter leur assimilation complète. Tous les programmes de la législation linguistique admettent l'utilisation et le développement des langues de la population non autochtone dans les médias, dans les domaines de l'enseignement général et de la culture nationale. Ainsi, ces domaines sont prometteurs à la fois pour la préservation et le développement des langues d'État et des langues des minorités nationales vivant dans les républiques.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2024-05-16T15:42:00+02:00</dcterms:created>
  <dcterms:modified xsi:type="dcterms:W3CDTF">2024-05-16T15:42:00+02:00</dcterms:modified>
</cp:coreProperties>
</file>

<file path=docProps/custom.xml><?xml version="1.0" encoding="utf-8"?>
<Properties xmlns="http://schemas.openxmlformats.org/officeDocument/2006/custom-properties" xmlns:vt="http://schemas.openxmlformats.org/officeDocument/2006/docPropsVTypes"/>
</file>