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N0464</w:t>
      </w:r>
    </w:p>
    <w:p>
      <w:pPr/>
      <w:r>
        <w:rPr>
          <w:sz w:val="24"/>
          <w:szCs w:val="24"/>
          <w:b w:val="1"/>
          <w:bCs w:val="1"/>
        </w:rPr>
        <w:t xml:space="preserve">Notion originale: национальные язык и культура</w:t>
      </w:r>
    </w:p>
    <w:p>
      <w:pPr/>
      <w:r>
        <w:rPr>
          <w:sz w:val="24"/>
          <w:szCs w:val="24"/>
          <w:b w:val="1"/>
          <w:bCs w:val="1"/>
        </w:rPr>
        <w:t xml:space="preserve">Notion translittere: nacionalʹnye âzyk i kulʹtura</w:t>
      </w:r>
    </w:p>
    <w:p>
      <w:pPr/>
      <w:r>
        <w:rPr>
          <w:sz w:val="24"/>
          <w:szCs w:val="24"/>
          <w:b w:val="1"/>
          <w:bCs w:val="1"/>
        </w:rPr>
        <w:t xml:space="preserve">Notion traduite: culture et langue nationales</w:t>
      </w:r>
    </w:p>
    <w:p>
      <w:pPr/>
      <w:r>
        <w:rPr/>
        <w:t xml:space="preserve">
Autre notion traduite avec le même therme: (français) culture et langue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E1959, p. [Введение (Vvedenie) (Préface)]</w:t>
      </w:r>
    </w:p>
    <w:p>
      <w:pPr/>
      <w:r>
        <w:rPr/>
        <w:t xml:space="preserve">    Концепция учитывает необходимость обеспечения единства и целостности России в новых исторических условиях развития российской государственности, согласования общегосударственных интересов и интересов всех населяющих ее народов, налаживания их всестороннего сотрудничества, развития национальных языков и культур.</w:t>
      </w:r>
    </w:p>
    <w:p>
      <w:pPr/>
      <w:r>
        <w:rPr/>
        <w:t xml:space="preserve">    La conception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E0138, p. 154</w:t>
      </w:r>
    </w:p>
    <w:p>
      <w:pPr/>
      <w:r>
        <w:rPr/>
        <w:t xml:space="preserve">    Национальное право на групповом уровне имеет четыре основные формы выражения : 1) право титульной нации на полную реализацию принципа национального самоопределения, вплоть до создания национальной государственности, 2) признание права нaродов на сохранение их cамобытности, подтвержденное гарантиями государства по созданию условий для изучения и развития национальных языков и культур, 3) признание особых прав малочисленных народов, 4) защита прав национальных групп и национальных меньшинств.</w:t>
      </w:r>
    </w:p>
    <w:p>
      <w:pPr/>
      <w:r>
        <w:rPr/>
        <w:t xml:space="preserve">    Le droit national, dans sa dimension de droit collectif, possède quatre formes principales d’expression : 1) le droit de la nation titulaire à une réalisation complète du principe de l’autodétermination, jusqu’à la création de la structure étatique nationale, 2) la reconnaissance du droit des peuples à la conservation de leur identité, confirmée par les garanties de l’Etat pour la mise en place des conditions favorables à l’apprentissage et au développement des cultures et langues nationales, 3) la reconnaissance des droits particuliers des peuples numériquement faibles, 4) la protection des droits des groupes nationaux et des minorités nationales.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2025-04-12T18:10:36+02:00</dcterms:created>
  <dcterms:modified xsi:type="dcterms:W3CDTF">2025-04-12T18:10:36+02:00</dcterms:modified>
</cp:coreProperties>
</file>

<file path=docProps/custom.xml><?xml version="1.0" encoding="utf-8"?>
<Properties xmlns="http://schemas.openxmlformats.org/officeDocument/2006/custom-properties" xmlns:vt="http://schemas.openxmlformats.org/officeDocument/2006/docPropsVTypes"/>
</file>