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N0463</w:t>
      </w:r>
    </w:p>
    <w:p>
      <w:pPr/>
      <w:r>
        <w:rPr>
          <w:sz w:val="24"/>
          <w:szCs w:val="24"/>
          <w:b w:val="1"/>
          <w:bCs w:val="1"/>
        </w:rPr>
        <w:t xml:space="preserve">Notion originale: второй официальный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vtoroj oficialʹnyj âzyk</w:t>
      </w:r>
    </w:p>
    <w:p>
      <w:pPr/>
      <w:r>
        <w:rPr>
          <w:sz w:val="24"/>
          <w:szCs w:val="24"/>
          <w:b w:val="1"/>
          <w:bCs w:val="1"/>
        </w:rPr>
        <w:t xml:space="preserve">Notion traduite: seconde langue officielle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D128</w:t>
      </w:r>
    </w:p>
    <w:p>
      <w:pPr/>
      <w:r>
        <w:rPr/>
        <w:t xml:space="preserve">Titre: Языковые ситуации в тюркоязычных республиках Российской Федерации (краткий социолингвистический очерк)</w:t>
      </w:r>
    </w:p>
    <w:p>
      <w:pPr/>
      <w:r>
        <w:rPr/>
        <w:t xml:space="preserve">Titre translittéré: Âzykovye situacii v tûrkoâzyčnyh respublikah Rossijskoj Federacii (kratkij sociolingvističeskij očerk)</w:t>
      </w:r>
    </w:p>
    <w:p>
      <w:pPr/>
      <w:r>
        <w:rPr/>
        <w:t xml:space="preserve">Titre traduit: Situations linguistiques dans les républiques turcophones de la Fédération de Russie (bref aperçu sociolinguistique)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russe</w:t>
      </w:r>
    </w:p>
    <w:p>
      <w:pPr/>
      <w:r>
        <w:rPr/>
        <w:t xml:space="preserve">Auteur: БАСКАКОВ, А. Н. [BASKAKOV, A.N.]</w:t>
      </w:r>
    </w:p>
    <w:p>
      <w:pPr/>
      <w:r>
        <w:rPr/>
        <w:t xml:space="preserve">Auteur: НАСЫРОВА, О. Д. [NASYROVA, O. D.]</w:t>
      </w:r>
    </w:p>
    <w:p>
      <w:pPr/>
      <w:r>
        <w:rPr/>
        <w:t xml:space="preserve">In :Языки Российской Федерации и нового зарубежья. Статус и функции Âzyki Rossijskoj Federacii i novogo zarubež'â. Status i funkcii(trad. :Langues de Fédération de Russie et de l'étranger proche. Statut et fonctions)Dirigé par: МИХАЛЬЧЕНКО, В. Ю. / КРЮЧКОВА, Т. Б.(MIHAL'ČENKO, V. Û. / KRÛČKOVA, T. B.)</w:t>
      </w:r>
    </w:p>
    <w:p>
      <w:pPr/>
      <w:r>
        <w:rPr/>
        <w:t xml:space="preserve">Ed. : Editorial URSS, Moscou, 2000, pp. 34-129</w:t>
      </w:r>
    </w:p>
    <w:p>
      <w:pPr/>
      <w:r>
        <w:rPr/>
        <w:t xml:space="preserve">
</w:t>
      </w:r>
    </w:p>
    <w:p>
      <w:pPr/>
      <w:r>
        <w:rPr/>
        <w:t xml:space="preserve">Extrait E2114, p. 111</w:t>
      </w:r>
    </w:p>
    <w:p>
      <w:pPr/>
      <w:r>
        <w:rPr/>
        <w:t xml:space="preserve">    В Индонезии европейский язык (голландский) объявляли на переходный период (10-15 лет) вторым официальным языком для определенных сфер общения – административной, научной, судопроизводства и др.</w:t>
      </w:r>
    </w:p>
    <w:p>
      <w:pPr/>
      <w:r>
        <w:rPr/>
        <w:t xml:space="preserve">    En Indonésie, une langue européenne (le néerlandais) a été déclarée pendant une période de transition (10 à 15 ans) la seconde langue officielle dans les domaines spécifiques de la communication, l'administratition, la science, les procédures juridiques etc.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2025-06-29T20:59:56+02:00</dcterms:created>
  <dcterms:modified xsi:type="dcterms:W3CDTF">2025-06-29T20:59:56+02:00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