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N0454</w:t>
      </w:r>
    </w:p>
    <w:p>
      <w:pPr/>
      <w:r>
        <w:rPr>
          <w:sz w:val="24"/>
          <w:szCs w:val="24"/>
          <w:b w:val="1"/>
          <w:bCs w:val="1"/>
        </w:rPr>
        <w:t xml:space="preserve">Notion originale: титульный язык</w:t>
      </w:r>
    </w:p>
    <w:p>
      <w:pPr/>
      <w:r>
        <w:rPr>
          <w:sz w:val="24"/>
          <w:szCs w:val="24"/>
          <w:b w:val="1"/>
          <w:bCs w:val="1"/>
        </w:rPr>
        <w:t xml:space="preserve">Notion translittere: titulʹnyj âzyk</w:t>
      </w:r>
    </w:p>
    <w:p>
      <w:pPr/>
      <w:r>
        <w:rPr>
          <w:sz w:val="24"/>
          <w:szCs w:val="24"/>
          <w:b w:val="1"/>
          <w:bCs w:val="1"/>
        </w:rPr>
        <w:t xml:space="preserve">Notion traduite: langue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E2079, p. 72-73</w:t>
      </w:r>
    </w:p>
    <w:p>
      <w:pPr/>
      <w:r>
        <w:rPr/>
        <w:t xml:space="preserve">    Наблюдения над результатами языкового строительства в советскую эпоху и над современной языковой ситуацией в тюркоязычных республиках РФ свидетельствуют, во-первых, об общности функциональной нагрузки титульных тюркских и русского языков в большинстве сфер общественной деятельности в республиках, несмотря на существенные различия в экономических и социо-культурных потенциалах республик, в социально-демографических структурах их населения и в разных статусах титульных тюркских языков, а во-вторых, о неравномерности развития общественных функций этих языков в различных сферах деятельности.</w:t>
      </w:r>
    </w:p>
    <w:p>
      <w:pPr/>
      <w:r>
        <w:rPr/>
        <w:t xml:space="preserve">    Les observations des résultats de l'édification linguistique à l'époque soviétique et de la situation actuelle dans les républiques turcophones de la Fédération de Russie témoignent, premièrement, des charges fonctionnelles communes des langues titulaires turciques et de la langue russe dans la plupart des domaines de la vie publique dans les républiques, malgré les différences significatives dans les potentiels économique et socio-culturel des républiques, dans la structure sociodémographique de leur population et dans les différents statuts des langues titulaires turciques, et, deuxièmement, du développement inégal des fonctions sociales de ces langues dans les différents domaines d'activité.</w:t>
      </w:r>
    </w:p>
    <w:p>
      <w:pPr/>
      <w:r>
        <w:rPr/>
        <w:t xml:space="preserve">
</w:t>
      </w:r>
    </w:p>
    <w:p>
      <w:pPr/>
      <w:r>
        <w:rPr/>
        <w:t xml:space="preserve">Extrait E2081, p. 74</w:t>
      </w:r>
    </w:p>
    <w:p>
      <w:pPr/>
      <w:r>
        <w:rPr/>
        <w:t xml:space="preserve">    Что касается сфер управления, науки и техники, специального, профессионально-технического среднего и высшего образования, промышленного производства, транспорта, связи, обслуживания, где и в прошлом и в настоящем титульные тюркские и прочие национальные языки не получили значительного применения, то это объясняется двумя основными причинами. Первая – это интегрированный на федеральном и международном уровнях характер деятельности в этих сферах, необходимость высокой степени ее координированности, коммуникативная насыщенность и интенсивный обмен разнообразной по содержанию и большой по объему информации, что делает нецелесообразным, а в ряде случаев невозможным применение наряду с русским языком или вместо него национальных языков, независимо от их официального статуса и предписаний языкового законодательства. Вторая причина заключена в неразвитости и неупорядоченности, а в ряде случаев и в отсутствии у тюркских и прочих национальных языков систем современной официально-деловой, научно-технической и производственно-отраслевой терминологии и соответствующих кодифицированных функциональных стилей, что не позволяет применять эти языки наряду с русским в указанных сферах деятельности.</w:t>
      </w:r>
    </w:p>
    <w:p>
      <w:pPr/>
      <w:r>
        <w:rPr/>
        <w:t xml:space="preserve">    En ce qui concerne les domaines de la gestion, de la science et de la technologie, de l'enseignement secondaire et supérieur technico-professionnel, de l'industrie, des transports, de la communication, des services, où comme dans le passé et dans le présent ni les langues titulaires turciques ni d'autres langues nationales n'ont pas été beaucoup utilisées, cela s'explique par deux raisons principales. Premièrement, c'est le caractère intégré de l'activité dans ces domaines aux niveaux fédéral et international, le besoin du niveau élevé de sa coordination, la densité communicationnelle et un échange intensif du grand volume des informations variées par leur contenu, ce qui rend inapproprié et dans certains cas impossible l'utilisation, avec le russe, des langues nationales, indépendamment de leur statut officiel et des commandements de la législation linguistique. La deuxième raison réside dans le sous- développement et dans la discontinuité, et dans certains cas, dans l'absence dans les langues turciques et autres langues nationales des systèmes de la terminologie moderne officielle, technico-scientifique, industrielle et sectorielle et des styles fonctionnels codifiés, ce qui ne permet pas l'utilisation de ces langues dans ces domaines, en plus de la langue russe.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E2109, p. 106</w:t>
      </w:r>
    </w:p>
    <w:p>
      <w:pPr/>
      <w:r>
        <w:rPr/>
        <w:t xml:space="preserve">    А вот как характеризуется положение хакасского языка – одного из наимение развитых титульных тюркских языков: анализ языковой ситуации в Республике Хакассия показывает, что во всех сферах общественной деятельности человека в полной мере функционирует только русский язык...</w:t>
      </w:r>
    </w:p>
    <w:p>
      <w:pPr/>
      <w:r>
        <w:rPr/>
        <w:t xml:space="preserve">    Et voilà comment est caractérisée la situation de la langue khakasse, l'une des langues titulaires turciques les moins développées : l'analyse de la situation linguistique dans la République de Khakassie montre qu'uniquement la langue russe fonctionne pleinement dans tous les domaines de l'activité sociale de la personne…</w:t>
      </w:r>
    </w:p>
    <w:p>
      <w:pPr/>
      <w:r>
        <w:rPr/>
        <w:t xml:space="preserve">
</w:t>
      </w:r>
    </w:p>
    <w:p>
      <w:pPr/>
      <w:r>
        <w:rPr/>
        <w:t xml:space="preserve">Extrait E2123, p. 116-117</w:t>
      </w:r>
    </w:p>
    <w:p>
      <w:pPr/>
      <w:r>
        <w:rPr/>
        <w:t xml:space="preserve">    Радио и телевидение функционируют в республиках на всех титульных тюркских языках: на татарском языке, на башкирском и чувашском языках, на якутском, тувинском и хакасском языках, на карачаево-балкарском языке, на кумыкском и ногайском языках. 40-50% всего объема радио- и телепередач идет на титульных языках, 50-60% - на русском языке.</w:t>
      </w:r>
    </w:p>
    <w:p>
      <w:pPr/>
      <w:r>
        <w:rPr/>
        <w:t xml:space="preserve">    La radio et la télévision fonctionnent dans les républiques dans toutes les langues titulaires turciques : dans les langues tatare, bachkire, tchouvache, yakoute, touvaine et khakasse, dans les langues karatchaï-balkar, koumyk et nogaï. 40-50 % de toutes les radio- et télé-émissions sont effectuées en langues titulaires, 50-60 % en langue russe.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2025-06-08T15:01:22+02:00</dcterms:created>
  <dcterms:modified xsi:type="dcterms:W3CDTF">2025-06-08T15:01:22+02:00</dcterms:modified>
</cp:coreProperties>
</file>

<file path=docProps/custom.xml><?xml version="1.0" encoding="utf-8"?>
<Properties xmlns="http://schemas.openxmlformats.org/officeDocument/2006/custom-properties" xmlns:vt="http://schemas.openxmlformats.org/officeDocument/2006/docPropsVTypes"/>
</file>