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N0440</w:t>
      </w:r>
    </w:p>
    <w:p>
      <w:pPr/>
      <w:r>
        <w:rPr>
          <w:sz w:val="24"/>
          <w:szCs w:val="24"/>
          <w:b w:val="1"/>
          <w:bCs w:val="1"/>
        </w:rPr>
        <w:t xml:space="preserve">Notion originale: ethnolecte</w:t>
      </w:r>
    </w:p>
    <w:p>
      <w:pPr/>
      <w:r>
        <w:rPr>
          <w:sz w:val="24"/>
          <w:szCs w:val="24"/>
          <w:b w:val="1"/>
          <w:bCs w:val="1"/>
        </w:rPr>
        <w:t xml:space="preserve">Notion traduite: ethnolecte</w:t>
      </w:r>
    </w:p>
    <w:p>
      <w:pPr/>
      <w:r>
        <w:rPr/>
        <w:t xml:space="preserve">
</w:t>
      </w:r>
    </w:p>
    <w:p>
      <w:pPr/>
      <w:r>
        <w:rPr>
          <w:b w:val="1"/>
          <w:bCs w:val="1"/>
        </w:rPr>
        <w:t xml:space="preserve">Document: D124</w:t>
      </w:r>
    </w:p>
    <w:p>
      <w:pPr/>
      <w:r>
        <w:rPr/>
        <w:t xml:space="preserve">Titre: L'allemand kanak, de l'insulte au phénomène de mode</w:t>
      </w:r>
    </w:p>
    <w:p>
      <w:pPr/>
      <w:r>
        <w:rPr/>
        <w:t xml:space="preserve">Type: linguistique - article d'ouvrage collectif</w:t>
      </w:r>
    </w:p>
    <w:p>
      <w:pPr/>
      <w:r>
        <w:rPr/>
        <w:t xml:space="preserve">Langue: français</w:t>
      </w:r>
    </w:p>
    <w:p>
      <w:pPr/>
      <w:r>
        <w:rPr/>
        <w:t xml:space="preserve">Auteur: HERDAM, Ayaal</w:t>
      </w:r>
    </w:p>
    <w:p>
      <w:pPr/>
      <w:r>
        <w:rPr/>
        <w:t xml:space="preserve">In :Multiculturalisme, multilinguisme et milieu urbainDirigé par: PAULIN, Catherine</w:t>
      </w:r>
    </w:p>
    <w:p>
      <w:pPr/>
      <w:r>
        <w:rPr/>
        <w:t xml:space="preserve">Ed. : Presses universitaires de Franche-Comté, Université de Franche-Comté, 2005, pp. 121-137</w:t>
      </w:r>
    </w:p>
    <w:p>
      <w:pPr/>
      <w:r>
        <w:rPr/>
        <w:t xml:space="preserve">
</w:t>
      </w:r>
    </w:p>
    <w:p>
      <w:pPr/>
      <w:r>
        <w:rPr/>
        <w:t xml:space="preserve">Extrait E1680, p. 123</w:t>
      </w:r>
    </w:p>
    <w:p>
      <w:pPr/>
      <w:r>
        <w:rPr/>
        <w:t xml:space="preserve">    Une description des traits caractéristiques de l'allemand kanak suppose l'existence de traits communs à toute une gamme de variétés régionales : chacune des agglomérations ouest-allemandes connaît son propre Türkendeutsch qui comporte souvent des éléments phonétiques et lexicaux typiques de l'allemand régional. Des spécialistes distinguent en plus entre un ethnolecte primaire, pratiqué par des locuteurs turcs ou en tout cas de culture étrangère, un sociolecte qui constitue la généralisation de l'ethnolecte primaire à tout un milieu social dans lequel les enfants des immigrés sont dominants, un ethnolecte tertiaire, pratiqué par des locuteurs allemands sans origines étrangères qui adoptent un style vu à la télé , et ceci uniquement dans certains contextes (cf. Auer, Dürscheid).</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2024-05-16T20:01:46+02:00</dcterms:created>
  <dcterms:modified xsi:type="dcterms:W3CDTF">2024-05-16T20:01:46+02:00</dcterms:modified>
</cp:coreProperties>
</file>

<file path=docProps/custom.xml><?xml version="1.0" encoding="utf-8"?>
<Properties xmlns="http://schemas.openxmlformats.org/officeDocument/2006/custom-properties" xmlns:vt="http://schemas.openxmlformats.org/officeDocument/2006/docPropsVTypes"/>
</file>