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N0433</w:t>
      </w:r>
    </w:p>
    <w:p>
      <w:pPr/>
      <w:r>
        <w:rPr>
          <w:sz w:val="24"/>
          <w:szCs w:val="24"/>
          <w:b w:val="1"/>
          <w:bCs w:val="1"/>
        </w:rPr>
        <w:t xml:space="preserve">Notion originale: langue d'isolat</w:t>
      </w:r>
    </w:p>
    <w:p>
      <w:pPr/>
      <w:r>
        <w:rPr>
          <w:sz w:val="24"/>
          <w:szCs w:val="24"/>
          <w:b w:val="1"/>
          <w:bCs w:val="1"/>
        </w:rPr>
        <w:t xml:space="preserve">Notion traduite: langue d'isolat</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E1496, p. 551</w:t>
      </w:r>
    </w:p>
    <w:p>
      <w:pPr/>
      <w:r>
        <w:rPr/>
        <w:t xml:space="preserve">    Dans l'ensemble des particularités culturelles, la langue joue un rôle important en raison de son caractère directement perceptible. Très souvent, la langue d'un groupe donné fonctionnera comme une métonymie de sa différence. En considérant ces questions du point de vue de la problématique diasporéique, on peut dire que, si une langue appartient à l'ensemble des traits discriminants d'un groupe en se conservant dans la durée, elle devient une "langue d'isolat" ou Inselsprache. Ce concept forgé en Allemagne pour décrire les îlots séparés du territoire germanophone (Russie, Amérique latine, Etats-Unis, etc.) est utile car il permet de mieux cerner le problème du déplacement.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