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N0042</w:t>
      </w:r>
    </w:p>
    <w:p>
      <w:pPr/>
      <w:r>
        <w:rPr>
          <w:sz w:val="24"/>
          <w:szCs w:val="24"/>
          <w:b w:val="1"/>
          <w:bCs w:val="1"/>
        </w:rPr>
        <w:t xml:space="preserve">Notion originale: langue locale</w:t>
      </w:r>
    </w:p>
    <w:p>
      <w:pPr/>
      <w:r>
        <w:rPr>
          <w:sz w:val="24"/>
          <w:szCs w:val="24"/>
          <w:b w:val="1"/>
          <w:bCs w:val="1"/>
        </w:rPr>
        <w:t xml:space="preserve">Notion traduite: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E1358, p. [Article 5, abrogé par : Ordonnance n° 2000-549 du 15 juin 2000 relative à la partie Législative du code de l'éducation, JORF, 22 juin 2000, p. 9346, article 7, 51°]</w:t>
      </w:r>
    </w:p>
    <w:p>
      <w:pPr/>
      <w:r>
        <w:rPr/>
        <w:t xml:space="preserve">    Dans les écoles normales, des cours et stages facultatifs seront organisés, dans toute la mesure du possible, pendant la durée de la formation professionnelle, à l'usage des élèves-maîtres et des élèves-maîtresses qui se destinent à enseigner dans une région où une langue locale a affirmé sa vitalité. Les cours et stages porteront, non seulement sur la langue elle-même, mais sur le folklore, la littérature et les arts populaires locaux.</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D501</w:t>
      </w:r>
    </w:p>
    <w:p>
      <w:pPr/>
      <w:r>
        <w:rPr/>
        <w:t xml:space="preserve">Titre: 1e chambre, 14 octobre 1999, mentionné aux tables du Recueil, n°97PA00883</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PARIS</w:t>
      </w:r>
    </w:p>
    <w:p>
      <w:pPr/>
      <w:r>
        <w:rPr/>
        <w:t xml:space="preserve">
</w:t>
      </w:r>
    </w:p>
    <w:p>
      <w:pPr/>
      <w:r>
        <w:rPr/>
        <w:t xml:space="preserve">Extrait E1750, p. cons.1 ; 5-6</w:t>
      </w:r>
    </w:p>
    <w:p>
      <w:pPr/>
      <w:r>
        <w:rPr/>
        <w:t xml:space="preserve">    Considérant qu'aux termes du troisième alinéa de l'article 1er de la loi organique du 12 avril 1996 susvisée : "La Polynésie Française détermine librement les signes distinctifs permettant de marquer sa personnalité dans les manifestations publiques officielles aux côtés de l'emblème national et des signes de la République. Elle peut créer un ordre spécifique reconnaissant les mérites de ses habitants et de ses hôtes" ; qu'en application de cette disposition, l'assemblée de la Polynésie Française a, aux termes de la délibération attaquée en date du 5 juin 1996, institué l'ordre dit de "Tahiti Nui" destiné à récompenser les mérites distingués acquis soit dans une fonction publique, soit dans l'exercice d'une activité privée ;
(…)
Considérant qu'aux termes du premier alinéa de l'article 2 de la Constitution : "La langue de la République est le français" ; que l'article 115 de la loi organique précitée du 12 avril 1996 dispose que : "Le français est la langue officielle, la langue tahitienne et les autres langues polynésiennes peuvent être utilisées" ; que, si en vertu de l'interprétation que le Conseil constitutionnel a donné de ces dispositions au regard de l'article 2 de la Constitution, celles-ci imposent en Polynésie Française l'usage du français aux personnes morales de droit public et aux personnes de droit privé dans l'exercice d'une mission de service public, ainsi qu'aux usagers dans leurs relations avec les administrations et services publics, ni l'article 2 de la Constitution, ni l'article 115 de la loi organique du 12 avril 1996 ne prohibent l'utilisation par ces personnes, à titre de dénomination ou d'appellation, de termes ou d'expressions issues des langues locales, quand bien même ces termes ou expressions auraient un équivalent en langue française ; que, par suite, Mme Y... n'est pas fondée à soutenir que le choix de l'expression "Tahiti Nui" pour désigner l'ordre créé méconnaîtrait l'article 2 de la Constitution ;
Considérant qu'il résulte des termes de la délibération attaquée que l'ordre ainsi créé n'est pas réservé, ni dans sa vocation, ni dans son organisation, à une partie du territoire de la Polynésie Française ; que le choix d'opportunité effectué par l'assemblée de la Polynésie Française pour désigner cet ordre ne peut être utilement discuté devant le juge de l'excès de pouvoir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E1511, p. 130</w:t>
      </w:r>
    </w:p>
    <w:p>
      <w:pPr/>
      <w:r>
        <w:rPr/>
        <w:t xml:space="preserve">    Car l'ablation des cultures locales, des langues locales, à quoi tend ce discours colonial, présuppose une culture et une langue de remplacement : c'est le mythe de l'assimilation, maintes fois ressorti sous des formes diverses .</w:t>
      </w:r>
    </w:p>
    <w:p>
      <w:pPr/>
      <w:r>
        <w:rPr/>
        <w:t xml:space="preserve">
</w:t>
      </w:r>
    </w:p>
    <w:p>
      <w:pPr/>
      <w:r>
        <w:rPr/>
        <w:t xml:space="preserve">Extrait E1513, p. 138</w:t>
      </w:r>
    </w:p>
    <w:p>
      <w:pPr/>
      <w:r>
        <w:rPr/>
        <w:t xml:space="preserve">    Si le problème théorique de la libération linguistique n'a que rarement été posé, il faut cependant souligner ce fait évident que les langues locales ont été largement utilisées par les militants de l'indépendance nationale. Et bien souvent d'ailleurs, il ne s'agissait pas même d'un choix, mais plutôt d'une obligation pratique : le peuple d'un pays colonisé, lorsque la glottophagie n'est pas achevée, ne comprend généralement pas la langue dominante, et il serait difficile de le mobiliser en s'adressant à lui dans une autre langue que la sienne.</w:t>
      </w:r>
    </w:p>
    <w:p>
      <w:pPr/>
      <w:r>
        <w:rPr/>
        <w:t xml:space="preserve">
</w:t>
      </w:r>
    </w:p>
    <w:p>
      <w:pPr/>
      <w:r>
        <w:rPr/>
        <w:t xml:space="preserve">Extrait E1515, p. 140</w:t>
      </w:r>
    </w:p>
    <w:p>
      <w:pPr/>
      <w:r>
        <w:rPr/>
        <w:t xml:space="preserve">    Là-bas [en Afrique], le choix était entre parler en langue locale ou ne pas parler au peuple, alors qu'ici se manifestait clairement la volonté d'opposer la langue locale au français, puisque l'utilisation de la langue locale intervenait dans une situation réellement bilingue.</w:t>
      </w:r>
    </w:p>
    <w:p>
      <w:pPr/>
      <w:r>
        <w:rPr/>
        <w:t xml:space="preserve">
</w:t>
      </w:r>
    </w:p>
    <w:p>
      <w:pPr/>
      <w:r>
        <w:rPr/>
        <w:t xml:space="preserve">Extrait E1517, p. 154</w:t>
      </w:r>
    </w:p>
    <w:p>
      <w:pPr/>
      <w:r>
        <w:rPr/>
        <w:t xml:space="preserve">    Tout ce qui précède nous a montré que la tendance du colonisateur était à supprimer les langues locales, à les mépriser dans les faits et dans son discours, en fondant autant que faire se pouvait ce mépris sur des arguments pseudo-scientifiques, et à mépriser donc par contrecoup ceux qui parlent ces langues locales.</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Extrait E1519, p. 184</w:t>
      </w:r>
    </w:p>
    <w:p>
      <w:pPr/>
      <w:r>
        <w:rPr/>
        <w:t xml:space="preserve">    On utilise la même langue, au sens propre tout d'abord, puisqu'on protestait contre l'emprise de la langue exclusive dans cette langue exclusive, et, plus gravement peut-être, au sens figuré : arguments faits pour être immédiatement compris et acceptés, choix du moyen le plus commun (l'assemblée), bref, utilisation des structures politiques de l'État qui a justement opprimé les langues locales de l'hexagone.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