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N0394</w:t>
      </w:r>
    </w:p>
    <w:p>
      <w:pPr/>
      <w:r>
        <w:rPr>
          <w:sz w:val="24"/>
          <w:szCs w:val="24"/>
          <w:b w:val="1"/>
          <w:bCs w:val="1"/>
        </w:rPr>
        <w:t xml:space="preserve">Notion originale: parler dialectal</w:t>
      </w:r>
    </w:p>
    <w:p>
      <w:pPr/>
      <w:r>
        <w:rPr>
          <w:sz w:val="24"/>
          <w:szCs w:val="24"/>
          <w:b w:val="1"/>
          <w:bCs w:val="1"/>
        </w:rPr>
        <w:t xml:space="preserve">Notion traduite: parler dialectal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D085</w:t>
      </w:r>
    </w:p>
    <w:p>
      <w:pPr/>
      <w:r>
        <w:rPr/>
        <w:t xml:space="preserve">Titre: Le Lëtzebuergesch  : la langue nationale du Grand Duché de Luxembourg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SCHANEN, François</w:t>
      </w:r>
    </w:p>
    <w:p>
      <w:pPr/>
      <w:r>
        <w:rPr/>
        <w:t xml:space="preserve">Auteur: LULLING, Jérôme</w:t>
      </w:r>
    </w:p>
    <w:p>
      <w:pPr/>
      <w:r>
        <w:rPr/>
        <w:t xml:space="preserve">In : Lengas, revue de sociolinguistique, n°60, 2006, pp. 12-48</w:t>
      </w:r>
    </w:p>
    <w:p>
      <w:pPr/>
      <w:r>
        <w:rPr/>
        <w:t xml:space="preserve">
</w:t>
      </w:r>
    </w:p>
    <w:p>
      <w:pPr/>
      <w:r>
        <w:rPr/>
        <w:t xml:space="preserve">Extrait E1640, p. 12</w:t>
      </w:r>
    </w:p>
    <w:p>
      <w:pPr/>
      <w:r>
        <w:rPr/>
        <w:t xml:space="preserve">    On appelle Lëtzebuergesch (luxembourgeois) ou encore, dans une perspective allemande, Platt ou Westmoselfränkisch (francique mosellan occidental), l'ensemble des parlers dialectaux de l'actuel Grand-Duché de Luxembourg et de quelques aires limitrophes belges, françaises et allemandes […].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2025-08-18T14:36:52+02:00</dcterms:created>
  <dcterms:modified xsi:type="dcterms:W3CDTF">2025-08-18T14:36:52+02:00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