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N0387</w:t>
      </w:r>
    </w:p>
    <w:p>
      <w:pPr/>
      <w:r>
        <w:rPr>
          <w:sz w:val="24"/>
          <w:szCs w:val="24"/>
          <w:b w:val="1"/>
          <w:bCs w:val="1"/>
        </w:rPr>
        <w:t xml:space="preserve">Notion originale: langue historique</w:t>
      </w:r>
    </w:p>
    <w:p>
      <w:pPr/>
      <w:r>
        <w:rPr>
          <w:sz w:val="24"/>
          <w:szCs w:val="24"/>
          <w:b w:val="1"/>
          <w:bCs w:val="1"/>
        </w:rPr>
        <w:t xml:space="preserve">Notion traduite: langue historique</w:t>
      </w:r>
    </w:p>
    <w:p>
      <w:pPr/>
      <w:r>
        <w:rPr/>
        <w:t xml:space="preserve">
Autre notion traduite avec le même therme: (russe) исторический язык</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E1629, p. 70</w:t>
      </w:r>
    </w:p>
    <w:p>
      <w:pPr/>
      <w:r>
        <w:rPr/>
        <w:t xml:space="preserve">    Malgré son apparence, la notion de langue historique suppose dans la Charte une acception large. Elle n'est pas uniquement représentative d'un fondement linguistique dont la particularité contribuerait à relier l'Europe à des racines attestées par l'histoire en tel ou tel lieu. Elle embrasse aussi justement des langues justement "sans territoire" (article 1.c) telles que le romani ou le yiddish, ces langues (Rapport explicatif : §36), "…traditionnellement parlées sur le territoire de l'Etat" (article 1.c), possédant pourtant un lien avec un territoire, large, qui est celui de l'Etat.</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2025-04-26T14:40:34+02:00</dcterms:created>
  <dcterms:modified xsi:type="dcterms:W3CDTF">2025-04-26T14:40:34+02:00</dcterms:modified>
</cp:coreProperties>
</file>

<file path=docProps/custom.xml><?xml version="1.0" encoding="utf-8"?>
<Properties xmlns="http://schemas.openxmlformats.org/officeDocument/2006/custom-properties" xmlns:vt="http://schemas.openxmlformats.org/officeDocument/2006/docPropsVTypes"/>
</file>