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N0384</w:t>
      </w:r>
    </w:p>
    <w:p>
      <w:pPr/>
      <w:r>
        <w:rPr>
          <w:sz w:val="24"/>
          <w:szCs w:val="24"/>
          <w:b w:val="1"/>
          <w:bCs w:val="1"/>
        </w:rPr>
        <w:t xml:space="preserve">Notion originale: langue d'immigrants</w:t>
      </w:r>
    </w:p>
    <w:p>
      <w:pPr/>
      <w:r>
        <w:rPr>
          <w:sz w:val="24"/>
          <w:szCs w:val="24"/>
          <w:b w:val="1"/>
          <w:bCs w:val="1"/>
        </w:rPr>
        <w:t xml:space="preserve">Notion traduite: langue d'immigrants</w:t>
      </w:r>
    </w:p>
    <w:p>
      <w:pPr/>
      <w:r>
        <w:rPr/>
        <w:t xml:space="preserve">
Autre notion traduite avec le même therme: (russe) язык иммигрантов</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E1627, p. 53</w:t>
      </w:r>
    </w:p>
    <w:p>
      <w:pPr/>
      <w:r>
        <w:rPr/>
        <w:t xml:space="preserve">    Il faut aussi préciser la politique linguistique suédoise très accueillante pour les langues des immigrants. La réforme de l'enseignement des langues maternelles adoptée en 1977 prévoit des mesures pour l'apprentissage des langues d'immigration. Le paragraphe 4 de l'article 5 de la loi sur l'enseignement de la langue maternelle stipule en effet que "au cas où, au domicile familial, l'un des parents de l'élève parle une autre langue que le suédois, et qu'ils utilisent cette langue comme moyen de communication quotidienne, l'enfant a droit à l'enseignement de sa langue maternelle. Les mairies sont tenues de prendre toutes les mesures pour l'exercice de ce droit.</w:t>
      </w:r>
    </w:p>
    <w:p>
      <w:pPr/>
      <w:r>
        <w:rPr/>
        <w:t xml:space="preserve">
</w:t>
      </w:r>
    </w:p>
    <w:p>
      <w:pPr/>
      <w:r>
        <w:rPr/>
        <w:t xml:space="preserve">
</w:t>
      </w:r>
    </w:p>
    <w:p>
      <w:pPr/>
      <w:r>
        <w:rPr>
          <w:b w:val="1"/>
          <w:bCs w:val="1"/>
        </w:rPr>
        <w:t xml:space="preserve">Document: D120</w:t>
      </w:r>
    </w:p>
    <w:p>
      <w:pPr/>
      <w:r>
        <w:rPr/>
        <w:t xml:space="preserve">Titre: Formes de la langue grecque en diaspora</w:t>
      </w:r>
    </w:p>
    <w:p>
      <w:pPr/>
      <w:r>
        <w:rPr/>
        <w:t xml:space="preserve">Type: linguistique - article d'ouvrage collectif</w:t>
      </w:r>
    </w:p>
    <w:p>
      <w:pPr/>
      <w:r>
        <w:rPr/>
        <w:t xml:space="preserve">Langue: français</w:t>
      </w:r>
    </w:p>
    <w:p>
      <w:pPr/>
      <w:r>
        <w:rPr/>
        <w:t xml:space="preserve">Auteur: DRETTAS, Georges</w:t>
      </w:r>
    </w:p>
    <w:p>
      <w:pPr/>
      <w:r>
        <w:rPr/>
        <w:t xml:space="preserve">In :Arméniens et Grecs en diaspora : approche comparative / Actes du colloque européen et international organisé à l'Ecole française d'AthènesÉdité par: BRUNEAU, Michel / HASSIOTIS, Ioannis / HOVANESSIAN, Martine / MOURADIAN, Claire</w:t>
      </w:r>
    </w:p>
    <w:p>
      <w:pPr/>
      <w:r>
        <w:rPr/>
        <w:t xml:space="preserve">Ed. : Ecole française d’Athènes, Athènes, 2007, pp. 549-562</w:t>
      </w:r>
    </w:p>
    <w:p>
      <w:pPr/>
      <w:r>
        <w:rPr/>
        <w:t xml:space="preserve">
</w:t>
      </w:r>
    </w:p>
    <w:p>
      <w:pPr/>
      <w:r>
        <w:rPr/>
        <w:t xml:space="preserve">Extrait E1499, p. 556</w:t>
      </w:r>
    </w:p>
    <w:p>
      <w:pPr/>
      <w:r>
        <w:rPr/>
        <w:t xml:space="preserve">    Ce qui fait l'originalité de la France (…) c'est que l'image de la langue nationale homogène est projetée sur la langue des immigrants. Lorsque ceux-ci proviennent d'un Etat-nation, c'est la politique linguistique de ce dernier qui va, très souvent, intervenir dans les interactions communautaires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2024-05-16T20:11:43+02:00</dcterms:created>
  <dcterms:modified xsi:type="dcterms:W3CDTF">2024-05-16T20:11:43+02:00</dcterms:modified>
</cp:coreProperties>
</file>

<file path=docProps/custom.xml><?xml version="1.0" encoding="utf-8"?>
<Properties xmlns="http://schemas.openxmlformats.org/officeDocument/2006/custom-properties" xmlns:vt="http://schemas.openxmlformats.org/officeDocument/2006/docPropsVTypes"/>
</file>