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N0376</w:t>
      </w:r>
    </w:p>
    <w:p>
      <w:pPr/>
      <w:r>
        <w:rPr>
          <w:sz w:val="24"/>
          <w:szCs w:val="24"/>
          <w:b w:val="1"/>
          <w:bCs w:val="1"/>
        </w:rPr>
        <w:t xml:space="preserve">Notion originale: langue de la dispersion</w:t>
      </w:r>
    </w:p>
    <w:p>
      <w:pPr/>
      <w:r>
        <w:rPr>
          <w:sz w:val="24"/>
          <w:szCs w:val="24"/>
          <w:b w:val="1"/>
          <w:bCs w:val="1"/>
        </w:rPr>
        <w:t xml:space="preserve">Notion traduite: langue de la dispersion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D079</w:t>
      </w:r>
    </w:p>
    <w:p>
      <w:pPr/>
      <w:r>
        <w:rPr/>
        <w:t xml:space="preserve">Titre: Le français, langue diasporique d’un genre spécifique ?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français</w:t>
      </w:r>
    </w:p>
    <w:p>
      <w:pPr/>
      <w:r>
        <w:rPr/>
        <w:t xml:space="preserve">Auteur: KOULAYAN, Nicole</w:t>
      </w:r>
    </w:p>
    <w:p>
      <w:pPr/>
      <w:r>
        <w:rPr/>
        <w:t xml:space="preserve">In : Diasporas, Histoire et sociétés, n°2, 2003, pp. 120-132</w:t>
      </w:r>
    </w:p>
    <w:p>
      <w:pPr/>
      <w:r>
        <w:rPr/>
        <w:t xml:space="preserve">
</w:t>
      </w:r>
    </w:p>
    <w:p>
      <w:pPr/>
      <w:r>
        <w:rPr/>
        <w:t xml:space="preserve">Extrait E1578, p. 127</w:t>
      </w:r>
    </w:p>
    <w:p>
      <w:pPr/>
      <w:r>
        <w:rPr/>
        <w:t xml:space="preserve">    Quoi qu'il en soit, ce qui s'affirme au cœur de tous ces modèles possibles [de diasporas], c'est un faisceau de préservations identitaires incluant aussi bien la culture que la langue. Langue que nous retrouverons pluri-maternelle dans le sens où elle sera également associée au territoire d'origine (mère-patrie), souvent "fétichiste" servant de langue identitaire et de langue de la dispersion (…).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2024-05-16T14:17:01+02:00</dcterms:created>
  <dcterms:modified xsi:type="dcterms:W3CDTF">2024-05-16T14:17:01+02:00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