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N0372</w:t>
      </w:r>
    </w:p>
    <w:p>
      <w:pPr/>
      <w:r>
        <w:rPr>
          <w:sz w:val="24"/>
          <w:szCs w:val="24"/>
          <w:b w:val="1"/>
          <w:bCs w:val="1"/>
        </w:rPr>
        <w:t xml:space="preserve">Notion originale: langue native</w:t>
      </w:r>
    </w:p>
    <w:p>
      <w:pPr/>
      <w:r>
        <w:rPr>
          <w:sz w:val="24"/>
          <w:szCs w:val="24"/>
          <w:b w:val="1"/>
          <w:bCs w:val="1"/>
        </w:rPr>
        <w:t xml:space="preserve">Notion traduite: langue native</w:t>
      </w:r>
    </w:p>
    <w:p>
      <w:pPr/>
      <w:r>
        <w:rPr/>
        <w:t xml:space="preserve">
Autre notion traduite avec le même therme: (anglais) native language</w:t>
      </w:r>
    </w:p>
    <w:p>
      <w:pPr/>
      <w:r>
        <w:rPr/>
        <w:t xml:space="preserve">
Autre notion traduite avec le même therme: (russe) родной язык</w:t>
      </w:r>
    </w:p>
    <w:p>
      <w:pPr/>
      <w:r>
        <w:rPr/>
        <w:t xml:space="preserve">
</w:t>
      </w:r>
    </w:p>
    <w:p>
      <w:pPr/>
      <w:r>
        <w:rPr>
          <w:b w:val="1"/>
          <w:bCs w:val="1"/>
        </w:rPr>
        <w:t xml:space="preserve">Document: D079</w:t>
      </w:r>
    </w:p>
    <w:p>
      <w:pPr/>
      <w:r>
        <w:rPr/>
        <w:t xml:space="preserve">Titre: Le français, langue diasporique d’un genre spécifique ?</w:t>
      </w:r>
    </w:p>
    <w:p>
      <w:pPr/>
      <w:r>
        <w:rPr/>
        <w:t xml:space="preserve">Type: linguistique - article de périodique</w:t>
      </w:r>
    </w:p>
    <w:p>
      <w:pPr/>
      <w:r>
        <w:rPr/>
        <w:t xml:space="preserve">Langue: français</w:t>
      </w:r>
    </w:p>
    <w:p>
      <w:pPr/>
      <w:r>
        <w:rPr/>
        <w:t xml:space="preserve">Auteur: KOULAYAN, Nicole</w:t>
      </w:r>
    </w:p>
    <w:p>
      <w:pPr/>
      <w:r>
        <w:rPr/>
        <w:t xml:space="preserve">In : Diasporas, Histoire et sociétés, n°2, 2003, pp. 120-132</w:t>
      </w:r>
    </w:p>
    <w:p>
      <w:pPr/>
      <w:r>
        <w:rPr/>
        <w:t xml:space="preserve">
</w:t>
      </w:r>
    </w:p>
    <w:p>
      <w:pPr/>
      <w:r>
        <w:rPr/>
        <w:t xml:space="preserve">Extrait E1576, p. 125</w:t>
      </w:r>
    </w:p>
    <w:p>
      <w:pPr/>
      <w:r>
        <w:rPr/>
        <w:t xml:space="preserve">    En termes sociolinguistiques se pose (…) le critère de "l'antériorité de l'appropriation" c'est-à-dire de la langue qui aurait été acquise la première, à partir de la naissance. On parle alors de "langue native" (et par voie de conséquence, de "locuteur natif"), langue qui aurait comme caractéristique unique d'être celle qui grâce à son antériorité intrinsèque, connaîtrait un niveau supérieur de compétence et serait donc la mieux acquise. Cela induit la légitimation de deux types de compétences, l'une par la "naissance" et l'autre par "l'institution" (diplôme, concours, titres acquis par examen…).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2025-08-18T14:37:14+02:00</dcterms:created>
  <dcterms:modified xsi:type="dcterms:W3CDTF">2025-08-18T14:37:14+02:00</dcterms:modified>
</cp:coreProperties>
</file>

<file path=docProps/custom.xml><?xml version="1.0" encoding="utf-8"?>
<Properties xmlns="http://schemas.openxmlformats.org/officeDocument/2006/custom-properties" xmlns:vt="http://schemas.openxmlformats.org/officeDocument/2006/docPropsVTypes"/>
</file>